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7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960"/>
        <w:tblGridChange w:id="0">
          <w:tblGrid>
            <w:gridCol w:w="3810"/>
            <w:gridCol w:w="9960"/>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Cura Personalis 1:  Self in Community</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Cura personalis 1:  Self in Community</w:t>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1</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Requirement: Must be completed during a student’s first 36 credit hours at SLU</w:t>
            </w:r>
          </w:p>
        </w:tc>
      </w:tr>
      <w:tr>
        <w:trPr>
          <w:cantSplit w:val="0"/>
          <w:tblHeader w:val="0"/>
        </w:trPr>
        <w:tc>
          <w:tcPr>
            <w:shd w:fill="d9e2f3" w:val="clear"/>
          </w:tcPr>
          <w:p w:rsidR="00000000" w:rsidDel="00000000" w:rsidP="00000000" w:rsidRDefault="00000000" w:rsidRPr="00000000" w14:paraId="00000022">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3">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Courses that satisfy the Cura Personalis 1: Self in Community requirement launch students on a path of self-discovery and deeper meaning-making by exploring fundamental questions of identity, history, and place.  Completed in the first year at SLU, this course offers grounding and support as students join the SLU academic community and begin to navigate its distinctive intellectual and interpersonal challenges.  This course situates students within the histories, places, and resources of SLU and St. Louis/Madrid, and assists in their transition to college-level learning in the Jesuit tradition by inviting them to consider the diverse perspectives and backgrounds that make up SLU, including their own.  The course also orients students to a variety of academic, health, wellness, civic, and cultural resources that are available to enrich their journey.</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Cura Personalis 1: Self in Community replaces the existing U101 course at SLU</w:t>
            </w:r>
          </w:p>
        </w:tc>
      </w:tr>
    </w:tbl>
    <w:p w:rsidR="00000000" w:rsidDel="00000000" w:rsidP="00000000" w:rsidRDefault="00000000" w:rsidRPr="00000000" w14:paraId="0000002A">
      <w:pPr>
        <w:spacing w:line="360" w:lineRule="auto"/>
        <w:rPr>
          <w:b w:val="1"/>
          <w:color w:val="2e75b5"/>
        </w:rPr>
      </w:pPr>
      <w:r w:rsidDel="00000000" w:rsidR="00000000" w:rsidRPr="00000000">
        <w:rPr>
          <w:rtl w:val="0"/>
        </w:rPr>
      </w:r>
    </w:p>
    <w:p w:rsidR="00000000" w:rsidDel="00000000" w:rsidP="00000000" w:rsidRDefault="00000000" w:rsidRPr="00000000" w14:paraId="0000002B">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C">
      <w:pPr>
        <w:spacing w:line="360" w:lineRule="auto"/>
        <w:jc w:val="center"/>
        <w:rPr>
          <w:b w:val="1"/>
          <w:color w:val="0563c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E">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F">
      <w:pPr>
        <w:spacing w:line="360" w:lineRule="auto"/>
        <w:rPr>
          <w:b w:val="1"/>
        </w:rPr>
      </w:pPr>
      <w:r w:rsidDel="00000000" w:rsidR="00000000" w:rsidRPr="00000000">
        <w:rPr>
          <w:b w:val="1"/>
          <w:rtl w:val="0"/>
        </w:rPr>
        <w:t xml:space="preserve">Cura Personalis 1: Self in Community</w:t>
      </w:r>
    </w:p>
    <w:p w:rsidR="00000000" w:rsidDel="00000000" w:rsidP="00000000" w:rsidRDefault="00000000" w:rsidRPr="00000000" w14:paraId="00000030">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25"/>
        <w:tblGridChange w:id="0">
          <w:tblGrid>
            <w:gridCol w:w="13725"/>
          </w:tblGrid>
        </w:tblGridChange>
      </w:tblGrid>
      <w:tr>
        <w:trPr>
          <w:cantSplit w:val="0"/>
          <w:tblHeader w:val="0"/>
        </w:trPr>
        <w:tc>
          <w:tcPr>
            <w:shd w:fill="d0cece" w:val="clear"/>
          </w:tcPr>
          <w:p w:rsidR="00000000" w:rsidDel="00000000" w:rsidP="00000000" w:rsidRDefault="00000000" w:rsidRPr="00000000" w14:paraId="00000031">
            <w:pPr>
              <w:rPr/>
            </w:pPr>
            <w:r w:rsidDel="00000000" w:rsidR="00000000" w:rsidRPr="00000000">
              <w:rPr>
                <w:b w:val="1"/>
                <w:rtl w:val="0"/>
              </w:rPr>
              <w:t xml:space="preserve">Cura Personalis 1: Self in Community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2">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3">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SLO 1: Examine their actions and vocations in dialogue with the Catholic, Jesuit tradition</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SLO 5: Analyze how diverse identities influence their lives and the lives of others</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SLO 9: Apply and acquire knowledge through engagement beyond the University</w:t>
            </w:r>
          </w:p>
        </w:tc>
      </w:tr>
    </w:tbl>
    <w:p w:rsidR="00000000" w:rsidDel="00000000" w:rsidP="00000000" w:rsidRDefault="00000000" w:rsidRPr="00000000" w14:paraId="00000037">
      <w:pPr>
        <w:rPr>
          <w:b w:val="1"/>
          <w:sz w:val="24"/>
          <w:szCs w:val="24"/>
          <w:u w:val="single"/>
        </w:rPr>
      </w:pPr>
      <w:r w:rsidDel="00000000" w:rsidR="00000000" w:rsidRPr="00000000">
        <w:rPr>
          <w:rtl w:val="0"/>
        </w:rPr>
      </w:r>
    </w:p>
    <w:tbl>
      <w:tblPr>
        <w:tblStyle w:val="Table4"/>
        <w:tblW w:w="13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5"/>
        <w:tblGridChange w:id="0">
          <w:tblGrid>
            <w:gridCol w:w="13755"/>
          </w:tblGrid>
        </w:tblGridChange>
      </w:tblGrid>
      <w:tr>
        <w:trPr>
          <w:cantSplit w:val="0"/>
          <w:tblHeader w:val="0"/>
        </w:trPr>
        <w:tc>
          <w:tcPr>
            <w:shd w:fill="d0cece" w:val="clear"/>
          </w:tcPr>
          <w:p w:rsidR="00000000" w:rsidDel="00000000" w:rsidP="00000000" w:rsidRDefault="00000000" w:rsidRPr="00000000" w14:paraId="00000038">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9">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A">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B">
            <w:pPr>
              <w:numPr>
                <w:ilvl w:val="0"/>
                <w:numId w:val="3"/>
              </w:numPr>
              <w:ind w:left="360"/>
              <w:rPr>
                <w:rFonts w:ascii="Calibri" w:cs="Calibri" w:eastAsia="Calibri" w:hAnsi="Calibri"/>
              </w:rPr>
            </w:pPr>
            <w:r w:rsidDel="00000000" w:rsidR="00000000" w:rsidRPr="00000000">
              <w:rPr>
                <w:rtl w:val="0"/>
              </w:rPr>
              <w:t xml:space="preserve">Demonstrate an understanding of SLU’s mission, Core Student Learning Outcomes, and the history of the Jesuit intellectual tradition</w:t>
            </w:r>
          </w:p>
        </w:tc>
      </w:tr>
      <w:tr>
        <w:trPr>
          <w:cantSplit w:val="0"/>
          <w:tblHeader w:val="0"/>
        </w:trPr>
        <w:tc>
          <w:tcPr/>
          <w:p w:rsidR="00000000" w:rsidDel="00000000" w:rsidP="00000000" w:rsidRDefault="00000000" w:rsidRPr="00000000" w14:paraId="0000003C">
            <w:pPr>
              <w:numPr>
                <w:ilvl w:val="0"/>
                <w:numId w:val="3"/>
              </w:numPr>
              <w:ind w:left="360"/>
              <w:rPr>
                <w:rFonts w:ascii="Calibri" w:cs="Calibri" w:eastAsia="Calibri" w:hAnsi="Calibri"/>
              </w:rPr>
            </w:pPr>
            <w:r w:rsidDel="00000000" w:rsidR="00000000" w:rsidRPr="00000000">
              <w:rPr>
                <w:rtl w:val="0"/>
              </w:rPr>
              <w:t xml:space="preserve">Demonstrate an understanding of the diversity and interconnectedness of individuals and communities, both present and past, in the shaping of one’s own perspectives, values, and identities.</w:t>
            </w:r>
          </w:p>
          <w:p w:rsidR="00000000" w:rsidDel="00000000" w:rsidP="00000000" w:rsidRDefault="00000000" w:rsidRPr="00000000" w14:paraId="0000003D">
            <w:pPr>
              <w:numPr>
                <w:ilvl w:val="0"/>
                <w:numId w:val="3"/>
              </w:numPr>
              <w:ind w:left="360"/>
              <w:rPr>
                <w:u w:val="none"/>
              </w:rPr>
            </w:pPr>
            <w:r w:rsidDel="00000000" w:rsidR="00000000" w:rsidRPr="00000000">
              <w:rPr>
                <w:rtl w:val="0"/>
              </w:rPr>
              <w:t xml:space="preserve">Access SLU resources for academic success, student health and wellness, and career preparedness</w:t>
            </w:r>
          </w:p>
        </w:tc>
      </w:tr>
      <w:tr>
        <w:trPr>
          <w:cantSplit w:val="0"/>
          <w:tblHeader w:val="0"/>
        </w:trPr>
        <w:tc>
          <w:tcPr/>
          <w:p w:rsidR="00000000" w:rsidDel="00000000" w:rsidP="00000000" w:rsidRDefault="00000000" w:rsidRPr="00000000" w14:paraId="0000003E">
            <w:pPr>
              <w:numPr>
                <w:ilvl w:val="0"/>
                <w:numId w:val="1"/>
              </w:numPr>
              <w:ind w:left="330"/>
            </w:pPr>
            <w:r w:rsidDel="00000000" w:rsidR="00000000" w:rsidRPr="00000000">
              <w:rPr>
                <w:rtl w:val="0"/>
              </w:rPr>
              <w:t xml:space="preserve">Access a range of civic and cultural resources both on and off campus that can enhance their sense of SLU’s urban location (St. Louis / Madrid) and what SLU St. Louis / Madrid offers students beyond the classroom</w:t>
            </w:r>
          </w:p>
        </w:tc>
      </w:tr>
    </w:tbl>
    <w:p w:rsidR="00000000" w:rsidDel="00000000" w:rsidP="00000000" w:rsidRDefault="00000000" w:rsidRPr="00000000" w14:paraId="0000003F">
      <w:pPr>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0">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2">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3">
            <w:pPr>
              <w:tabs>
                <w:tab w:val="left" w:leader="none" w:pos="6660"/>
              </w:tabs>
              <w:spacing w:after="40" w:before="40" w:lineRule="auto"/>
              <w:rPr>
                <w:b w:val="1"/>
                <w:color w:val="2e75b5"/>
                <w:sz w:val="20"/>
                <w:szCs w:val="20"/>
              </w:rPr>
            </w:pPr>
            <w:r w:rsidDel="00000000" w:rsidR="00000000" w:rsidRPr="00000000">
              <w:rPr>
                <w:b w:val="1"/>
                <w:i w:val="1"/>
                <w:color w:val="2e75b5"/>
                <w:sz w:val="20"/>
                <w:szCs w:val="20"/>
                <w:rtl w:val="0"/>
              </w:rPr>
              <w:t xml:space="preserve">Below, you will find listed the 4 course-level student learning outcomes associated with this Core component area.  </w:t>
            </w:r>
            <w:r w:rsidDel="00000000" w:rsidR="00000000" w:rsidRPr="00000000">
              <w:rPr>
                <w:rtl w:val="0"/>
              </w:rPr>
            </w:r>
          </w:p>
        </w:tc>
        <w:tc>
          <w:tcPr>
            <w:gridSpan w:val="2"/>
          </w:tcPr>
          <w:p w:rsidR="00000000" w:rsidDel="00000000" w:rsidP="00000000" w:rsidRDefault="00000000" w:rsidRPr="00000000" w14:paraId="00000044">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4 course-level student learning outcomes associated with this Core component area.  In the space provided, please discuss how this course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Demonstrate an understanding of SLU’s mission, Core Student Learning Outcomes, and the history of the Jesuit intellectual tradition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720" w:right="0" w:firstLine="0"/>
              <w:jc w:val="left"/>
              <w:rPr>
                <w:color w:val="2e75b5"/>
                <w:sz w:val="20"/>
                <w:szCs w:val="20"/>
              </w:rPr>
            </w:pPr>
            <w:r w:rsidDel="00000000" w:rsidR="00000000" w:rsidRPr="00000000">
              <w:rPr>
                <w:rtl w:val="0"/>
              </w:rPr>
            </w:r>
          </w:p>
          <w:p w:rsidR="00000000" w:rsidDel="00000000" w:rsidP="00000000" w:rsidRDefault="00000000" w:rsidRPr="00000000" w14:paraId="00000048">
            <w:pP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A">
            <w:pPr>
              <w:tabs>
                <w:tab w:val="left" w:leader="none" w:pos="6660"/>
              </w:tabs>
              <w:spacing w:after="40" w:before="40" w:lineRule="auto"/>
              <w:ind w:left="0" w:firstLine="0"/>
              <w:rPr>
                <w:color w:val="2e75b5"/>
                <w:sz w:val="20"/>
                <w:szCs w:val="20"/>
              </w:rPr>
            </w:pPr>
            <w:r w:rsidDel="00000000" w:rsidR="00000000" w:rsidRPr="00000000">
              <w:rPr>
                <w:color w:val="2e75b5"/>
                <w:sz w:val="20"/>
                <w:szCs w:val="20"/>
                <w:rtl w:val="0"/>
              </w:rPr>
              <w:t xml:space="preserve">How will you ensure that this course Introduces students to the SLU mission, SLU’s Core Student Learning Outcomes, and the history of the Jesuit intellectual tradition (including St. Ignatius / Ignatian pedagogy)?</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Demonstrate an understanding of the diversity and interconnectedness of individuals and communities, both present and past, in the shaping of one’s own perspectives, values, and identities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color w:val="2e75b5"/>
                <w:sz w:val="20"/>
                <w:szCs w:val="20"/>
              </w:rPr>
            </w:pPr>
            <w:r w:rsidDel="00000000" w:rsidR="00000000" w:rsidRPr="00000000">
              <w:rPr>
                <w:rtl w:val="0"/>
              </w:rPr>
            </w:r>
          </w:p>
          <w:p w:rsidR="00000000" w:rsidDel="00000000" w:rsidP="00000000" w:rsidRDefault="00000000" w:rsidRPr="00000000" w14:paraId="0000004E">
            <w:pP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 </w:t>
            </w:r>
          </w:p>
          <w:p w:rsidR="00000000" w:rsidDel="00000000" w:rsidP="00000000" w:rsidRDefault="00000000" w:rsidRPr="00000000" w14:paraId="0000004F">
            <w:pPr>
              <w:tabs>
                <w:tab w:val="left" w:leader="none" w:pos="6660"/>
              </w:tabs>
              <w:spacing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0">
            <w:pPr>
              <w:tabs>
                <w:tab w:val="left" w:leader="none" w:pos="6660"/>
              </w:tabs>
              <w:spacing w:after="40" w:before="40" w:lineRule="auto"/>
              <w:ind w:left="0" w:firstLine="0"/>
              <w:rPr>
                <w:color w:val="2e75b5"/>
                <w:sz w:val="20"/>
                <w:szCs w:val="20"/>
              </w:rPr>
            </w:pPr>
            <w:r w:rsidDel="00000000" w:rsidR="00000000" w:rsidRPr="00000000">
              <w:rPr>
                <w:color w:val="2e75b5"/>
                <w:sz w:val="20"/>
                <w:szCs w:val="20"/>
                <w:rtl w:val="0"/>
              </w:rPr>
              <w:t xml:space="preserve">How will this course require students to reflect on their own relationship to a campus community of people from a wide range of diverse backgrounds and traditions?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Access SLU resources for academic success, student health and wellness, and career preparedness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right="0"/>
              <w:jc w:val="left"/>
              <w:rPr>
                <w:color w:val="2e75b5"/>
                <w:sz w:val="20"/>
                <w:szCs w:val="20"/>
              </w:rPr>
            </w:pPr>
            <w:r w:rsidDel="00000000" w:rsidR="00000000" w:rsidRPr="00000000">
              <w:rPr>
                <w:rtl w:val="0"/>
              </w:rPr>
            </w:r>
          </w:p>
          <w:p w:rsidR="00000000" w:rsidDel="00000000" w:rsidP="00000000" w:rsidRDefault="00000000" w:rsidRPr="00000000" w14:paraId="00000054">
            <w:pP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 </w:t>
            </w:r>
          </w:p>
        </w:tc>
        <w:tc>
          <w:tcPr>
            <w:gridSpan w:val="2"/>
          </w:tcPr>
          <w:p w:rsidR="00000000" w:rsidDel="00000000" w:rsidP="00000000" w:rsidRDefault="00000000" w:rsidRPr="00000000" w14:paraId="00000055">
            <w:pPr>
              <w:tabs>
                <w:tab w:val="left" w:leader="none" w:pos="6660"/>
              </w:tabs>
              <w:spacing w:before="40" w:lineRule="auto"/>
              <w:ind w:left="0" w:firstLine="0"/>
              <w:rPr>
                <w:color w:val="2e75b5"/>
                <w:sz w:val="20"/>
                <w:szCs w:val="20"/>
              </w:rPr>
            </w:pPr>
            <w:r w:rsidDel="00000000" w:rsidR="00000000" w:rsidRPr="00000000">
              <w:rPr>
                <w:color w:val="2e75b5"/>
                <w:sz w:val="20"/>
                <w:szCs w:val="20"/>
                <w:rtl w:val="0"/>
              </w:rPr>
              <w:t xml:space="preserve">In what ways will this course orient students to the academic and wellness resources available for their success at SLU, including the SLU Libraries; the Student Success Center; the Writing Center; SLU Career Services; SLU Student Counseling services; Student Healthcare; the Office of the Dean of Students, etc.?</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Access a range of civic and cultural resources both on and off campus that can enhance their sense of SLU’s urban location (St. Louis / Madrid) and what SLU St. Louis / Madrid offers students beyond the classroom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firstLine="0"/>
              <w:jc w:val="left"/>
              <w:rPr>
                <w:color w:val="2e75b5"/>
                <w:sz w:val="20"/>
                <w:szCs w:val="20"/>
              </w:rPr>
            </w:pPr>
            <w:r w:rsidDel="00000000" w:rsidR="00000000" w:rsidRPr="00000000">
              <w:rPr>
                <w:rtl w:val="0"/>
              </w:rPr>
            </w:r>
          </w:p>
          <w:p w:rsidR="00000000" w:rsidDel="00000000" w:rsidP="00000000" w:rsidRDefault="00000000" w:rsidRPr="00000000" w14:paraId="00000059">
            <w:pP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 </w:t>
            </w:r>
          </w:p>
          <w:p w:rsidR="00000000" w:rsidDel="00000000" w:rsidP="00000000" w:rsidRDefault="00000000" w:rsidRPr="00000000" w14:paraId="0000005A">
            <w:pPr>
              <w:tabs>
                <w:tab w:val="left" w:leader="none" w:pos="6660"/>
              </w:tabs>
              <w:spacing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introduce students to a range of available civic and cultural resources both on and off campus—and ensure that students get off campus at least once during the course?</w:t>
            </w: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5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1">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2">
            <w:pPr>
              <w:tabs>
                <w:tab w:val="left" w:leader="none" w:pos="6660"/>
              </w:tabs>
              <w:spacing w:after="40" w:before="40" w:lineRule="auto"/>
              <w:rPr>
                <w:b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w:t>
            </w:r>
            <w:r w:rsidDel="00000000" w:rsidR="00000000" w:rsidRPr="00000000">
              <w:rPr>
                <w:rtl w:val="0"/>
              </w:rPr>
            </w:r>
          </w:p>
        </w:tc>
        <w:tc>
          <w:tcPr>
            <w:gridSpan w:val="2"/>
          </w:tcPr>
          <w:p w:rsidR="00000000" w:rsidDel="00000000" w:rsidP="00000000" w:rsidRDefault="00000000" w:rsidRPr="00000000" w14:paraId="00000063">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course/program is designed to facilitate student achievement of these 3 outcomes at the levels indicated in parentheses. </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5">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1</w:t>
            </w:r>
            <w:r w:rsidDel="00000000" w:rsidR="00000000" w:rsidRPr="00000000">
              <w:rPr>
                <w:b w:val="1"/>
                <w:color w:val="2e75b5"/>
                <w:sz w:val="20"/>
                <w:szCs w:val="20"/>
                <w:rtl w:val="0"/>
              </w:rPr>
              <w:t xml:space="preserve">: Examine their actions and vocations in dialogue with the Catholic, Jesuit tradition (Introduce)</w:t>
            </w:r>
          </w:p>
        </w:tc>
        <w:tc>
          <w:tcPr>
            <w:gridSpan w:val="2"/>
          </w:tcPr>
          <w:p w:rsidR="00000000" w:rsidDel="00000000" w:rsidP="00000000" w:rsidRDefault="00000000" w:rsidRPr="00000000" w14:paraId="00000066">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8">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5</w:t>
            </w:r>
            <w:r w:rsidDel="00000000" w:rsidR="00000000" w:rsidRPr="00000000">
              <w:rPr>
                <w:b w:val="1"/>
                <w:color w:val="2e75b5"/>
                <w:sz w:val="20"/>
                <w:szCs w:val="20"/>
                <w:rtl w:val="0"/>
              </w:rPr>
              <w:t xml:space="preserve">: Analyze how diverse identities influence their lives and the lives of others (Introduce)</w:t>
            </w:r>
          </w:p>
          <w:p w:rsidR="00000000" w:rsidDel="00000000" w:rsidP="00000000" w:rsidRDefault="00000000" w:rsidRPr="00000000" w14:paraId="00000069">
            <w:pPr>
              <w:tabs>
                <w:tab w:val="left" w:leader="none" w:pos="6660"/>
              </w:tabs>
              <w:spacing w:after="40" w:before="40" w:lineRule="auto"/>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6A">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C">
            <w:pP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9</w:t>
            </w:r>
            <w:r w:rsidDel="00000000" w:rsidR="00000000" w:rsidRPr="00000000">
              <w:rPr>
                <w:b w:val="1"/>
                <w:color w:val="2e75b5"/>
                <w:sz w:val="20"/>
                <w:szCs w:val="20"/>
                <w:rtl w:val="0"/>
              </w:rPr>
              <w:t xml:space="preserve">: Apply and acquire knowledge through engagement beyond the University (Introduce)</w:t>
            </w:r>
            <w:r w:rsidDel="00000000" w:rsidR="00000000" w:rsidRPr="00000000">
              <w:rPr>
                <w:rtl w:val="0"/>
              </w:rPr>
            </w:r>
          </w:p>
        </w:tc>
        <w:tc>
          <w:tcPr>
            <w:gridSpan w:val="2"/>
          </w:tcPr>
          <w:p w:rsidR="00000000" w:rsidDel="00000000" w:rsidP="00000000" w:rsidRDefault="00000000" w:rsidRPr="00000000" w14:paraId="0000006D">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10A2E"/>
    <w:rPr>
      <w:color w:val="0563c1" w:themeColor="hyperlink"/>
      <w:u w:val="single"/>
    </w:rPr>
  </w:style>
  <w:style w:type="character" w:styleId="UnresolvedMention">
    <w:name w:val="Unresolved Mention"/>
    <w:basedOn w:val="DefaultParagraphFont"/>
    <w:uiPriority w:val="99"/>
    <w:semiHidden w:val="1"/>
    <w:unhideWhenUsed w:val="1"/>
    <w:rsid w:val="00810A2E"/>
    <w:rPr>
      <w:color w:val="605e5c"/>
      <w:shd w:color="auto" w:fill="e1dfdd" w:val="clear"/>
    </w:rPr>
  </w:style>
  <w:style w:type="character" w:styleId="FollowedHyperlink">
    <w:name w:val="FollowedHyperlink"/>
    <w:basedOn w:val="DefaultParagraphFont"/>
    <w:uiPriority w:val="99"/>
    <w:semiHidden w:val="1"/>
    <w:unhideWhenUsed w:val="1"/>
    <w:rsid w:val="00810A2E"/>
    <w:rPr>
      <w:color w:val="954f72" w:themeColor="followedHyperlink"/>
      <w:u w:val="single"/>
    </w:rPr>
  </w:style>
  <w:style w:type="table" w:styleId="TableGrid1" w:customStyle="1">
    <w:name w:val="Table Grid1"/>
    <w:basedOn w:val="TableNormal"/>
    <w:next w:val="TableGrid"/>
    <w:uiPriority w:val="39"/>
    <w:rsid w:val="008E06D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fq2MKhWCwCnssi3mGRfey1-TQtB4MUDi/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kh1pkD2PbaFDwgXTDQYPehUIQ==">CgMxLjA4AHIhMUVjVnJ1TlRtOGpDcjBWeVFFWUhHMEtoazFmcFFxU2pF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2020-09-30T15:09:00Z</dcterms:created>
  <dc:creator>Jamie Zurliene</dc:creator>
</cp:coreProperties>
</file>