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right="-630"/>
        <w:rPr>
          <w:rFonts w:ascii="Calibri" w:cs="Calibri" w:eastAsia="Calibri" w:hAnsi="Calibri"/>
          <w:color w:val="000000"/>
          <w:sz w:val="20"/>
          <w:szCs w:val="20"/>
        </w:rPr>
      </w:pPr>
      <w:bookmarkStart w:colFirst="0" w:colLast="0" w:name="_heading=h.30j0zll" w:id="0"/>
      <w:bookmarkEnd w:id="0"/>
      <w:r w:rsidDel="00000000" w:rsidR="00000000" w:rsidRPr="00000000">
        <w:rPr>
          <w:rtl w:val="0"/>
        </w:rPr>
      </w:r>
    </w:p>
    <w:tbl>
      <w:tblPr>
        <w:tblStyle w:val="Table1"/>
        <w:tblW w:w="135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9720"/>
        <w:tblGridChange w:id="0">
          <w:tblGrid>
            <w:gridCol w:w="3870"/>
            <w:gridCol w:w="9720"/>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Course Submitted</w:t>
            </w:r>
          </w:p>
          <w:p w:rsidR="00000000" w:rsidDel="00000000" w:rsidP="00000000" w:rsidRDefault="00000000" w:rsidRPr="00000000" w14:paraId="00000005">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(Subject/Number/Title)</w:t>
            </w:r>
          </w:p>
        </w:tc>
        <w:tc>
          <w:tcPr/>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Submitted By</w:t>
            </w:r>
          </w:p>
          <w:p w:rsidR="00000000" w:rsidDel="00000000" w:rsidP="00000000" w:rsidRDefault="00000000" w:rsidRPr="00000000" w14:paraId="00000008">
            <w:pPr>
              <w:rPr>
                <w:rFonts w:ascii="Calibri" w:cs="Calibri" w:eastAsia="Calibri" w:hAnsi="Calibri"/>
                <w:b w:val="1"/>
                <w:color w:val="2e75b5"/>
                <w:sz w:val="28"/>
                <w:szCs w:val="28"/>
              </w:rPr>
            </w:pPr>
            <w:r w:rsidDel="00000000" w:rsidR="00000000" w:rsidRPr="00000000">
              <w:rPr>
                <w:b w:val="1"/>
                <w:color w:val="2e75b5"/>
                <w:sz w:val="28"/>
                <w:szCs w:val="28"/>
                <w:rtl w:val="0"/>
              </w:rPr>
              <w:t xml:space="preserve">(Name/Department)</w:t>
            </w:r>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tbl>
      <w:tblPr>
        <w:tblStyle w:val="Table2"/>
        <w:tblW w:w="13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355"/>
        <w:tblGridChange w:id="0">
          <w:tblGrid>
            <w:gridCol w:w="3855"/>
            <w:gridCol w:w="315"/>
            <w:gridCol w:w="7050"/>
            <w:gridCol w:w="2355"/>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Dignity, Ethics, and a Just Society</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rFonts w:ascii="Calibri" w:cs="Calibri" w:eastAsia="Calibri" w:hAnsi="Calibri"/>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rFonts w:ascii="Calibri" w:cs="Calibri" w:eastAsia="Calibri" w:hAnsi="Calibri"/>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attributed course</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None</w:t>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Courses that satisfy the Dignity, Ethics, and a Just Society requirement ask students to apply concepts of human dignity, well-being, equity, and justice to critically evaluate social systems; envision changes that promote dignity and justice; and assess the moral implications of their analysis for their own actions and vocation.</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7">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tabs>
                <w:tab w:val="left" w:leader="none" w:pos="6660"/>
              </w:tabs>
              <w:spacing w:before="40" w:lineRule="auto"/>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The key concepts of human dignity, well-being, and justice are intended to gloss three broad, multifaceted dimensions that have relevance for social evaluation; moreover, the use of the key concepts is not meant to preclude the use of additional concepts.</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tabs>
                <w:tab w:val="left" w:leader="none" w:pos="6660"/>
              </w:tabs>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Courses with this attribute may include a range of justice-oriented courses in a variety of disciplines, including professional and applied ethics courses (e.g., health care ethics, computer ethics)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Any course in the University Core or in a major program of study is eligible to be approved as carrying this attribute </w:t>
            </w:r>
            <w:r w:rsidDel="00000000" w:rsidR="00000000" w:rsidRPr="00000000">
              <w:rPr>
                <w:rFonts w:ascii="Calibri" w:cs="Calibri" w:eastAsia="Calibri" w:hAnsi="Calibri"/>
                <w:b w:val="1"/>
                <w:color w:val="2e75b5"/>
                <w:sz w:val="20"/>
                <w:szCs w:val="20"/>
                <w:rtl w:val="0"/>
              </w:rPr>
              <w:t xml:space="preserve">except for: Ignite Seminar; Cura Personalis 1, 2, and 3; Eloquentia Perfecta 1; Eloquentia Perfecta 2</w:t>
            </w:r>
            <w:r w:rsidDel="00000000" w:rsidR="00000000" w:rsidRPr="00000000">
              <w:rPr>
                <w:rtl w:val="0"/>
              </w:rPr>
            </w:r>
          </w:p>
        </w:tc>
      </w:tr>
    </w:tbl>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w:t>
      </w:r>
      <w:r w:rsidDel="00000000" w:rsidR="00000000" w:rsidRPr="00000000">
        <w:rPr>
          <w:rFonts w:ascii="Calibri" w:cs="Calibri" w:eastAsia="Calibri" w:hAnsi="Calibri"/>
          <w:b w:val="1"/>
          <w:color w:val="2e75b5"/>
          <w:sz w:val="20"/>
          <w:szCs w:val="20"/>
          <w:rtl w:val="0"/>
        </w:rPr>
        <w:t xml:space="preserve">  </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360" w:lineRule="auto"/>
        <w:jc w:val="center"/>
        <w:rPr>
          <w:rFonts w:ascii="Calibri" w:cs="Calibri" w:eastAsia="Calibri" w:hAnsi="Calibri"/>
          <w:b w:val="1"/>
          <w:color w:val="0563c1"/>
          <w:sz w:val="26"/>
          <w:szCs w:val="26"/>
          <w:u w:val="single"/>
        </w:rPr>
      </w:pPr>
      <w:hyperlink r:id="rId7">
        <w:r w:rsidDel="00000000" w:rsidR="00000000" w:rsidRPr="00000000">
          <w:rPr>
            <w:rFonts w:ascii="Calibri" w:cs="Calibri" w:eastAsia="Calibri" w:hAnsi="Calibri"/>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Equity and Global Identities: Dignity, Ethics, and a Just Society</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25"/>
        <w:tblGridChange w:id="0">
          <w:tblGrid>
            <w:gridCol w:w="13725"/>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shd w:fill="d0cece" w:val="clear"/>
                <w:rtl w:val="0"/>
              </w:rPr>
              <w:t xml:space="preserve">Equity and Global Identities: Dignity, Ethics, and a Just Society</w:t>
            </w:r>
            <w:r w:rsidDel="00000000" w:rsidR="00000000" w:rsidRPr="00000000">
              <w:rPr>
                <w:shd w:fill="d0cece" w:val="clear"/>
                <w:rtl w:val="0"/>
              </w:rPr>
              <w:t xml:space="preserve"> 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1: Examine their actions and vocations in dialogue with the Catholic, Jesuit tradition</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3: Assess evidence and draw reasoned conclusions</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SLO 7: Evaluate the extent to which social systems influence equity and reflect innate human dignity</w:t>
            </w:r>
          </w:p>
        </w:tc>
      </w:tr>
    </w:tbl>
    <w:p w:rsidR="00000000" w:rsidDel="00000000" w:rsidP="00000000" w:rsidRDefault="00000000" w:rsidRPr="00000000" w14:paraId="0000003B">
      <w:pPr>
        <w:rPr>
          <w:b w:val="1"/>
          <w:sz w:val="24"/>
          <w:szCs w:val="24"/>
          <w:u w:val="single"/>
        </w:rPr>
      </w:pPr>
      <w:r w:rsidDel="00000000" w:rsidR="00000000" w:rsidRPr="00000000">
        <w:rPr>
          <w:rtl w:val="0"/>
        </w:rPr>
      </w:r>
    </w:p>
    <w:tbl>
      <w:tblPr>
        <w:tblStyle w:val="Table4"/>
        <w:tblW w:w="13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70"/>
        <w:tblGridChange w:id="0">
          <w:tblGrid>
            <w:gridCol w:w="13770"/>
          </w:tblGrid>
        </w:tblGridChange>
      </w:tblGrid>
      <w:tr>
        <w:trPr>
          <w:cantSplit w:val="0"/>
          <w:tblHeader w:val="0"/>
        </w:trPr>
        <w:tc>
          <w:tcPr>
            <w:shd w:fill="d0cece" w:val="clear"/>
          </w:tcPr>
          <w:p w:rsidR="00000000" w:rsidDel="00000000" w:rsidP="00000000" w:rsidRDefault="00000000" w:rsidRPr="00000000" w14:paraId="0000003C">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D">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E">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6660"/>
              </w:tabs>
              <w:spacing w:before="40" w:lineRule="auto"/>
              <w:ind w:left="360" w:hanging="360"/>
              <w:rPr/>
            </w:pPr>
            <w:r w:rsidDel="00000000" w:rsidR="00000000" w:rsidRPr="00000000">
              <w:rPr>
                <w:rtl w:val="0"/>
              </w:rPr>
              <w:t xml:space="preserve">Analyze the cultural-institutional conditions and causes of just and unjust social systems using such concepts as social location, relationships, power, privilege, and vulnerability</w:t>
            </w:r>
          </w:p>
        </w:tc>
      </w:tr>
      <w:tr>
        <w:trPr>
          <w:cantSplit w:val="0"/>
          <w:tblHeader w:val="0"/>
        </w:trPr>
        <w:tc>
          <w:tcPr/>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left" w:leader="none" w:pos="6660"/>
              </w:tabs>
              <w:spacing w:before="40" w:lineRule="auto"/>
              <w:ind w:left="360" w:hanging="360"/>
              <w:rPr/>
            </w:pPr>
            <w:r w:rsidDel="00000000" w:rsidR="00000000" w:rsidRPr="00000000">
              <w:rPr>
                <w:rtl w:val="0"/>
              </w:rPr>
              <w:t xml:space="preserve">Apply such ethical concepts as human dignity, equity, well-being justice, and the common good to critically evaluate both existing social systems and proposals for social change</w:t>
            </w:r>
          </w:p>
        </w:tc>
      </w:tr>
      <w:tr>
        <w:trPr>
          <w:cantSplit w:val="0"/>
          <w:tblHeader w:val="0"/>
        </w:trPr>
        <w:tc>
          <w:tcPr/>
          <w:p w:rsidR="00000000" w:rsidDel="00000000" w:rsidP="00000000" w:rsidRDefault="00000000" w:rsidRPr="00000000" w14:paraId="00000041">
            <w:pPr>
              <w:numPr>
                <w:ilvl w:val="0"/>
                <w:numId w:val="1"/>
              </w:numPr>
              <w:ind w:left="330" w:hanging="330"/>
              <w:rPr/>
            </w:pPr>
            <w:r w:rsidDel="00000000" w:rsidR="00000000" w:rsidRPr="00000000">
              <w:rPr>
                <w:rtl w:val="0"/>
              </w:rPr>
              <w:t xml:space="preserve">Envision and articulate systemic social changes and other ways to promote flourishing, well-being, equity, justice, and the dignity of the human person</w:t>
            </w:r>
          </w:p>
        </w:tc>
      </w:tr>
    </w:tbl>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bl>
      <w:tblPr>
        <w:tblStyle w:val="Table5"/>
        <w:tblW w:w="13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550"/>
        <w:tblGridChange w:id="0">
          <w:tblGrid>
            <w:gridCol w:w="3855"/>
            <w:gridCol w:w="7365"/>
            <w:gridCol w:w="255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3">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5">
            <w:pPr>
              <w:tabs>
                <w:tab w:val="left" w:leader="none" w:pos="6660"/>
              </w:tabs>
              <w:spacing w:after="40" w:before="40" w:lineRule="auto"/>
              <w:rPr>
                <w:rFonts w:ascii="Calibri" w:cs="Calibri" w:eastAsia="Calibri" w:hAnsi="Calibri"/>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6">
            <w:pPr>
              <w:tabs>
                <w:tab w:val="left" w:leader="none" w:pos="6660"/>
              </w:tabs>
              <w:spacing w:after="40" w:before="40" w:lineRule="auto"/>
              <w:rPr>
                <w:rFonts w:ascii="Calibri" w:cs="Calibri" w:eastAsia="Calibri" w:hAnsi="Calibri"/>
                <w:b w:val="1"/>
                <w:i w:val="1"/>
                <w:color w:val="2e75b5"/>
                <w:sz w:val="20"/>
                <w:szCs w:val="20"/>
              </w:rPr>
            </w:pPr>
            <w:r w:rsidDel="00000000" w:rsidR="00000000" w:rsidRPr="00000000">
              <w:rPr>
                <w:rFonts w:ascii="Calibri" w:cs="Calibri" w:eastAsia="Calibri" w:hAnsi="Calibri"/>
                <w:b w:val="1"/>
                <w:i w:val="1"/>
                <w:color w:val="2e75b5"/>
                <w:sz w:val="20"/>
                <w:szCs w:val="20"/>
                <w:rtl w:val="0"/>
              </w:rPr>
              <w:t xml:space="preserve">Below, you will find listed the 3 course-level student learning outcomes associated with this Core component area.  </w:t>
            </w:r>
          </w:p>
          <w:p w:rsidR="00000000" w:rsidDel="00000000" w:rsidP="00000000" w:rsidRDefault="00000000" w:rsidRPr="00000000" w14:paraId="00000047">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8">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short answers to the questions in the boxes. Please include examples of readings, assignments, and/or activities that demonstrate how this course is designed to facilitate student achievement of these outcomes. NOTE: </w:t>
            </w:r>
            <w:r w:rsidDel="00000000" w:rsidR="00000000" w:rsidRPr="00000000">
              <w:rPr>
                <w:b w:val="1"/>
                <w:i w:val="1"/>
                <w:color w:val="4472c4"/>
                <w:sz w:val="20"/>
                <w:szCs w:val="20"/>
                <w:rtl w:val="0"/>
              </w:rPr>
              <w:t xml:space="preserve">If you choose to describe oral presentations, be aware that if they do not have a written or recorded component they cannot serve as assessment artifacts. </w:t>
            </w:r>
            <w:r w:rsidDel="00000000" w:rsidR="00000000" w:rsidRPr="00000000">
              <w:rPr>
                <w:b w:val="1"/>
                <w:i w:val="1"/>
                <w:color w:val="2e75b5"/>
                <w:sz w:val="20"/>
                <w:szCs w:val="20"/>
                <w:rtl w:val="0"/>
              </w:rPr>
              <w:t xml:space="preserve"> </w:t>
            </w:r>
          </w:p>
        </w:tc>
      </w:tr>
      <w:tr>
        <w:trPr>
          <w:cantSplit w:val="0"/>
          <w:trHeight w:val="1763" w:hRule="atLeast"/>
          <w:tblHeader w:val="0"/>
        </w:trPr>
        <w:tc>
          <w:tcPr>
            <w:shd w:fill="d9e2f3" w:val="clear"/>
          </w:tcPr>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55"/>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analyze the cultural-institutional conditions and causes of just and unjust social systems using such concepts as social location, relationships, power, privilege, and vulnerability</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6660"/>
              </w:tabs>
              <w:spacing w:before="40" w:lineRule="auto"/>
              <w:ind w:left="163" w:hanging="163"/>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sdt>
              <w:sdtPr>
                <w:tag w:val="goog_rdk_0"/>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What conceptual frameworks and methods will your students use to analyze and critically evaluate social systems from the point of view of social justice?</w:t>
            </w:r>
          </w:p>
        </w:tc>
      </w:tr>
      <w:tr>
        <w:trPr>
          <w:cantSplit w:val="0"/>
          <w:trHeight w:val="1763" w:hRule="atLeast"/>
          <w:tblHeader w:val="0"/>
        </w:trPr>
        <w:tc>
          <w:tcPr>
            <w:shd w:fill="d9e2f3" w:val="clear"/>
          </w:tcPr>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apply such ethical concepts as human dignity, equity, well-being justice, and the common good to critically evaluate both existing social systems and proposals for social change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6660"/>
              </w:tabs>
              <w:spacing w:before="40" w:lineRule="auto"/>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sdt>
              <w:sdtPr>
                <w:tag w:val="goog_rdk_1"/>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6660"/>
              </w:tabs>
              <w:spacing w:before="40" w:lineRule="auto"/>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How will your students reflect on the ways in which their lives and perspectives are affected by the ethical implications of the course content? </w:t>
            </w:r>
          </w:p>
          <w:p w:rsidR="00000000" w:rsidDel="00000000" w:rsidP="00000000" w:rsidRDefault="00000000" w:rsidRPr="00000000" w14:paraId="00000057">
            <w:pPr>
              <w:tabs>
                <w:tab w:val="left" w:leader="none" w:pos="6660"/>
              </w:tabs>
              <w:spacing w:after="40" w:before="40" w:lineRule="auto"/>
              <w:rPr>
                <w:rFonts w:ascii="Calibri" w:cs="Calibri" w:eastAsia="Calibri" w:hAnsi="Calibri"/>
                <w:color w:val="2e75b5"/>
                <w:sz w:val="20"/>
                <w:szCs w:val="20"/>
              </w:rPr>
            </w:pPr>
            <w:r w:rsidDel="00000000" w:rsidR="00000000" w:rsidRPr="00000000">
              <w:rPr>
                <w:rtl w:val="0"/>
              </w:rPr>
            </w:r>
          </w:p>
        </w:tc>
      </w:tr>
      <w:tr>
        <w:trPr>
          <w:cantSplit w:val="0"/>
          <w:trHeight w:val="620" w:hRule="atLeast"/>
          <w:tblHeader w:val="0"/>
        </w:trPr>
        <w:tc>
          <w:tcPr>
            <w:shd w:fill="d9e2f3" w:val="clear"/>
          </w:tcPr>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envision and articulate systemic social changes and other ways to promote flourishing, well-being, equity, justice, and the dignity of the human person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0" w:right="0" w:firstLine="0"/>
              <w:jc w:val="left"/>
              <w:rPr>
                <w:color w:val="2e75b5"/>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sdt>
              <w:sdtPr>
                <w:tag w:val="goog_rdk_2"/>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6660"/>
              </w:tabs>
              <w:spacing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6660"/>
              </w:tabs>
              <w:spacing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How will your students envision strategies to promote equity, justice, and human dignity in order to facilitate social change? </w:t>
            </w:r>
          </w:p>
          <w:p w:rsidR="00000000" w:rsidDel="00000000" w:rsidP="00000000" w:rsidRDefault="00000000" w:rsidRPr="00000000" w14:paraId="0000005E">
            <w:pPr>
              <w:tabs>
                <w:tab w:val="left" w:leader="none" w:pos="6660"/>
              </w:tabs>
              <w:spacing w:after="40" w:before="40" w:lineRule="auto"/>
              <w:rPr>
                <w:rFonts w:ascii="Calibri" w:cs="Calibri" w:eastAsia="Calibri" w:hAnsi="Calibri"/>
                <w:color w:val="4472c4"/>
                <w:sz w:val="20"/>
                <w:szCs w:val="20"/>
              </w:rPr>
            </w:pPr>
            <w:r w:rsidDel="00000000" w:rsidR="00000000" w:rsidRPr="00000000">
              <w:rPr>
                <w:rtl w:val="0"/>
              </w:rPr>
            </w:r>
          </w:p>
        </w:tc>
      </w:tr>
    </w:tbl>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bl>
      <w:tblPr>
        <w:tblStyle w:val="Table6"/>
        <w:tblpPr w:leftFromText="180" w:rightFromText="180" w:topFromText="0" w:bottomFromText="0" w:vertAnchor="text" w:horzAnchor="text" w:tblpX="0" w:tblpY="723"/>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70"/>
        <w:tblGridChange w:id="0">
          <w:tblGrid>
            <w:gridCol w:w="3855"/>
            <w:gridCol w:w="7365"/>
            <w:gridCol w:w="237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1">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SLO(s)                                                                 (</w:t>
            </w:r>
            <w:hyperlink r:id="rId10">
              <w:r w:rsidDel="00000000" w:rsidR="00000000" w:rsidRPr="00000000">
                <w:rPr>
                  <w:rFonts w:ascii="Calibri" w:cs="Calibri" w:eastAsia="Calibri" w:hAnsi="Calibri"/>
                  <w:b w:val="1"/>
                  <w:color w:val="0563c1"/>
                  <w:sz w:val="28"/>
                  <w:szCs w:val="28"/>
                  <w:u w:val="single"/>
                  <w:rtl w:val="0"/>
                </w:rPr>
                <w:t xml:space="preserve">Click here for more information on Core SLO’s</w:t>
              </w:r>
            </w:hyperlink>
            <w:r w:rsidDel="00000000" w:rsidR="00000000" w:rsidRPr="00000000">
              <w:rPr>
                <w:rFonts w:ascii="Calibri" w:cs="Calibri" w:eastAsia="Calibri" w:hAnsi="Calibri"/>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3">
            <w:pPr>
              <w:tabs>
                <w:tab w:val="left" w:leader="none" w:pos="6660"/>
              </w:tabs>
              <w:spacing w:after="40" w:before="40" w:lineRule="auto"/>
              <w:rPr>
                <w:rFonts w:ascii="Calibri" w:cs="Calibri" w:eastAsia="Calibri" w:hAnsi="Calibri"/>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4">
            <w:pPr>
              <w:tabs>
                <w:tab w:val="left" w:leader="none" w:pos="6660"/>
              </w:tabs>
              <w:spacing w:after="40" w:before="40" w:lineRule="auto"/>
              <w:rPr>
                <w:rFonts w:ascii="Calibri" w:cs="Calibri" w:eastAsia="Calibri" w:hAnsi="Calibri"/>
                <w:b w:val="1"/>
                <w:i w:val="1"/>
                <w:color w:val="2e75b5"/>
                <w:sz w:val="20"/>
                <w:szCs w:val="20"/>
              </w:rPr>
            </w:pPr>
            <w:r w:rsidDel="00000000" w:rsidR="00000000" w:rsidRPr="00000000">
              <w:rPr>
                <w:rFonts w:ascii="Calibri" w:cs="Calibri" w:eastAsia="Calibri" w:hAnsi="Calibri"/>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  </w:t>
            </w:r>
          </w:p>
          <w:p w:rsidR="00000000" w:rsidDel="00000000" w:rsidP="00000000" w:rsidRDefault="00000000" w:rsidRPr="00000000" w14:paraId="00000065">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6">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 at the levels indicated in parentheses. </w:t>
            </w:r>
            <w:r w:rsidDel="00000000" w:rsidR="00000000" w:rsidRPr="00000000">
              <w:rPr>
                <w:b w:val="1"/>
                <w:i w:val="1"/>
                <w:color w:val="0070c0"/>
                <w:sz w:val="20"/>
                <w:szCs w:val="20"/>
                <w:rtl w:val="0"/>
              </w:rPr>
              <w:t xml:space="preserve">NOTE: If you choose to describe oral presentations, be aware that if they do not have a written or recorded component they cannot serve as assessment artifacts.  </w:t>
            </w:r>
            <w:r w:rsidDel="00000000" w:rsidR="00000000" w:rsidRPr="00000000">
              <w:rPr>
                <w:rtl w:val="0"/>
              </w:rPr>
            </w:r>
          </w:p>
          <w:p w:rsidR="00000000" w:rsidDel="00000000" w:rsidP="00000000" w:rsidRDefault="00000000" w:rsidRPr="00000000" w14:paraId="00000067">
            <w:pPr>
              <w:rPr>
                <w:rFonts w:ascii="Calibri" w:cs="Calibri" w:eastAsia="Calibri" w:hAnsi="Calibri"/>
                <w:color w:val="2e75b5"/>
                <w:sz w:val="20"/>
                <w:szCs w:val="20"/>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2e75b5"/>
                <w:sz w:val="20"/>
                <w:szCs w:val="20"/>
                <w:highlight w:val="white"/>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A">
            <w:pPr>
              <w:tabs>
                <w:tab w:val="left" w:leader="none" w:pos="6660"/>
              </w:tabs>
              <w:spacing w:after="40" w:before="40" w:lineRule="auto"/>
              <w:ind w:left="90" w:firstLine="0"/>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u w:val="single"/>
                <w:rtl w:val="0"/>
              </w:rPr>
              <w:t xml:space="preserve">SLO 1</w:t>
            </w:r>
            <w:r w:rsidDel="00000000" w:rsidR="00000000" w:rsidRPr="00000000">
              <w:rPr>
                <w:rFonts w:ascii="Calibri" w:cs="Calibri" w:eastAsia="Calibri" w:hAnsi="Calibri"/>
                <w:b w:val="1"/>
                <w:color w:val="2e75b5"/>
                <w:sz w:val="20"/>
                <w:szCs w:val="20"/>
                <w:rtl w:val="0"/>
              </w:rPr>
              <w:t xml:space="preserve">: Students will be able to examine their actions and vocations in dialogue with the Catholic, Jesuit tradition (Develop)</w:t>
            </w:r>
          </w:p>
          <w:p w:rsidR="00000000" w:rsidDel="00000000" w:rsidP="00000000" w:rsidRDefault="00000000" w:rsidRPr="00000000" w14:paraId="0000006B">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C">
            <w:pPr>
              <w:tabs>
                <w:tab w:val="left" w:leader="none" w:pos="6660"/>
              </w:tabs>
              <w:spacing w:after="40" w:before="40" w:lineRule="auto"/>
              <w:ind w:left="90" w:firstLine="0"/>
              <w:rPr>
                <w:rFonts w:ascii="Calibri" w:cs="Calibri" w:eastAsia="Calibri" w:hAnsi="Calibri"/>
                <w:color w:val="2e75b5"/>
                <w:sz w:val="20"/>
                <w:szCs w:val="20"/>
              </w:rPr>
            </w:pPr>
            <w:sdt>
              <w:sdtPr>
                <w:tag w:val="goog_rdk_3"/>
              </w:sdtPr>
              <w:sdtContent>
                <w:r w:rsidDel="00000000" w:rsidR="00000000" w:rsidRPr="00000000">
                  <w:rPr>
                    <w:rFonts w:ascii="Arial Unicode MS" w:cs="Arial Unicode MS" w:eastAsia="Arial Unicode MS" w:hAnsi="Arial Unicode MS"/>
                    <w:color w:val="2e75b5"/>
                    <w:sz w:val="20"/>
                    <w:szCs w:val="20"/>
                    <w:rtl w:val="0"/>
                  </w:rPr>
                  <w:t xml:space="preserve">☐</w:t>
                </w:r>
              </w:sdtContent>
            </w:sdt>
            <w:r w:rsidDel="00000000" w:rsidR="00000000" w:rsidRPr="00000000">
              <w:rPr>
                <w:rFonts w:ascii="Calibri" w:cs="Calibri" w:eastAsia="Calibri" w:hAnsi="Calibri"/>
                <w:color w:val="2e75b5"/>
                <w:sz w:val="20"/>
                <w:szCs w:val="20"/>
                <w:rtl w:val="0"/>
              </w:rPr>
              <w:t xml:space="preserve">Check here if submitting UUCC</w:t>
            </w:r>
          </w:p>
          <w:p w:rsidR="00000000" w:rsidDel="00000000" w:rsidP="00000000" w:rsidRDefault="00000000" w:rsidRPr="00000000" w14:paraId="0000006D">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        requested revisions</w:t>
            </w:r>
          </w:p>
        </w:tc>
        <w:tc>
          <w:tcPr>
            <w:gridSpan w:val="2"/>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6660"/>
              </w:tabs>
              <w:spacing w:after="40" w:before="40" w:lineRule="auto"/>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How familiar are your students with the Jesuit mission of service and how might they exhibit their understanding of th</w:t>
            </w:r>
            <w:r w:rsidDel="00000000" w:rsidR="00000000" w:rsidRPr="00000000">
              <w:rPr>
                <w:color w:val="4472c4"/>
                <w:sz w:val="20"/>
                <w:szCs w:val="20"/>
                <w:rtl w:val="0"/>
              </w:rPr>
              <w:t xml:space="preserve">ese concepts </w:t>
            </w:r>
            <w:r w:rsidDel="00000000" w:rsidR="00000000" w:rsidRPr="00000000">
              <w:rPr>
                <w:rFonts w:ascii="Calibri" w:cs="Calibri" w:eastAsia="Calibri" w:hAnsi="Calibri"/>
                <w:color w:val="4472c4"/>
                <w:sz w:val="20"/>
                <w:szCs w:val="20"/>
                <w:rtl w:val="0"/>
              </w:rPr>
              <w:t xml:space="preserve">in </w:t>
            </w:r>
            <w:r w:rsidDel="00000000" w:rsidR="00000000" w:rsidRPr="00000000">
              <w:rPr>
                <w:color w:val="4472c4"/>
                <w:sz w:val="20"/>
                <w:szCs w:val="20"/>
                <w:rtl w:val="0"/>
              </w:rPr>
              <w:t xml:space="preserve">this</w:t>
            </w:r>
            <w:r w:rsidDel="00000000" w:rsidR="00000000" w:rsidRPr="00000000">
              <w:rPr>
                <w:rFonts w:ascii="Calibri" w:cs="Calibri" w:eastAsia="Calibri" w:hAnsi="Calibri"/>
                <w:color w:val="4472c4"/>
                <w:sz w:val="20"/>
                <w:szCs w:val="20"/>
                <w:rtl w:val="0"/>
              </w:rPr>
              <w:t xml:space="preserve"> class? </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6660"/>
              </w:tabs>
              <w:spacing w:after="40" w:before="40" w:lineRule="auto"/>
              <w:rPr>
                <w:rFonts w:ascii="Calibri" w:cs="Calibri" w:eastAsia="Calibri" w:hAnsi="Calibri"/>
                <w:color w:val="4472c4"/>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6660"/>
              </w:tabs>
              <w:spacing w:after="40" w:before="40" w:lineRule="auto"/>
              <w:rPr>
                <w:rFonts w:ascii="Calibri" w:cs="Calibri" w:eastAsia="Calibri" w:hAnsi="Calibri"/>
                <w:color w:val="ff0000"/>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2">
            <w:pPr>
              <w:tabs>
                <w:tab w:val="left" w:leader="none" w:pos="6660"/>
              </w:tabs>
              <w:spacing w:after="40" w:before="40" w:lineRule="auto"/>
              <w:ind w:left="90" w:firstLine="0"/>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u w:val="single"/>
                <w:rtl w:val="0"/>
              </w:rPr>
              <w:t xml:space="preserve">SLO 3</w:t>
            </w:r>
            <w:r w:rsidDel="00000000" w:rsidR="00000000" w:rsidRPr="00000000">
              <w:rPr>
                <w:rFonts w:ascii="Calibri" w:cs="Calibri" w:eastAsia="Calibri" w:hAnsi="Calibri"/>
                <w:b w:val="1"/>
                <w:color w:val="2e75b5"/>
                <w:sz w:val="20"/>
                <w:szCs w:val="20"/>
                <w:rtl w:val="0"/>
              </w:rPr>
              <w:t xml:space="preserve">: Students will be able to assess evidence and draw reasoned conclusions (Develop)</w:t>
            </w:r>
          </w:p>
          <w:p w:rsidR="00000000" w:rsidDel="00000000" w:rsidP="00000000" w:rsidRDefault="00000000" w:rsidRPr="00000000" w14:paraId="00000073">
            <w:pPr>
              <w:tabs>
                <w:tab w:val="left" w:leader="none" w:pos="6660"/>
              </w:tabs>
              <w:spacing w:after="40" w:before="40" w:lineRule="auto"/>
              <w:ind w:left="90" w:firstLine="0"/>
              <w:rPr>
                <w:rFonts w:ascii="Calibri" w:cs="Calibri" w:eastAsia="Calibri" w:hAnsi="Calibri"/>
                <w:b w:val="1"/>
                <w:color w:val="2e75b5"/>
                <w:sz w:val="20"/>
                <w:szCs w:val="20"/>
                <w:u w:val="single"/>
              </w:rPr>
            </w:pPr>
            <w:r w:rsidDel="00000000" w:rsidR="00000000" w:rsidRPr="00000000">
              <w:rPr>
                <w:rtl w:val="0"/>
              </w:rPr>
            </w:r>
          </w:p>
          <w:p w:rsidR="00000000" w:rsidDel="00000000" w:rsidP="00000000" w:rsidRDefault="00000000" w:rsidRPr="00000000" w14:paraId="00000074">
            <w:pPr>
              <w:tabs>
                <w:tab w:val="left" w:leader="none" w:pos="6660"/>
              </w:tabs>
              <w:spacing w:after="40" w:before="40" w:lineRule="auto"/>
              <w:ind w:left="90" w:firstLine="0"/>
              <w:rPr>
                <w:rFonts w:ascii="Calibri" w:cs="Calibri" w:eastAsia="Calibri" w:hAnsi="Calibri"/>
                <w:color w:val="2e75b5"/>
                <w:sz w:val="20"/>
                <w:szCs w:val="20"/>
              </w:rPr>
            </w:pPr>
            <w:sdt>
              <w:sdtPr>
                <w:tag w:val="goog_rdk_4"/>
              </w:sdtPr>
              <w:sdtContent>
                <w:r w:rsidDel="00000000" w:rsidR="00000000" w:rsidRPr="00000000">
                  <w:rPr>
                    <w:rFonts w:ascii="Arial Unicode MS" w:cs="Arial Unicode MS" w:eastAsia="Arial Unicode MS" w:hAnsi="Arial Unicode MS"/>
                    <w:color w:val="2e75b5"/>
                    <w:sz w:val="20"/>
                    <w:szCs w:val="20"/>
                    <w:rtl w:val="0"/>
                  </w:rPr>
                  <w:t xml:space="preserve">☐</w:t>
                </w:r>
              </w:sdtContent>
            </w:sdt>
            <w:r w:rsidDel="00000000" w:rsidR="00000000" w:rsidRPr="00000000">
              <w:rPr>
                <w:rFonts w:ascii="Calibri" w:cs="Calibri" w:eastAsia="Calibri" w:hAnsi="Calibri"/>
                <w:color w:val="2e75b5"/>
                <w:sz w:val="20"/>
                <w:szCs w:val="20"/>
                <w:rtl w:val="0"/>
              </w:rPr>
              <w:t xml:space="preserve">Check here if submitting UUCC </w:t>
            </w:r>
          </w:p>
          <w:p w:rsidR="00000000" w:rsidDel="00000000" w:rsidP="00000000" w:rsidRDefault="00000000" w:rsidRPr="00000000" w14:paraId="00000075">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        requested revisions</w:t>
            </w:r>
          </w:p>
        </w:tc>
        <w:tc>
          <w:tcPr>
            <w:gridSpan w:val="2"/>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6660"/>
              </w:tabs>
              <w:spacing w:after="40" w:before="40" w:lineRule="auto"/>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What methods and concepts will your students use to assess evidence and draw conclusions? </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6660"/>
              </w:tabs>
              <w:spacing w:after="40" w:before="40" w:lineRule="auto"/>
              <w:ind w:left="720" w:firstLine="0"/>
              <w:rPr>
                <w:rFonts w:ascii="Calibri" w:cs="Calibri" w:eastAsia="Calibri" w:hAnsi="Calibri"/>
                <w:color w:val="ff0000"/>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9">
            <w:pPr>
              <w:tabs>
                <w:tab w:val="left" w:leader="none" w:pos="6660"/>
              </w:tabs>
              <w:spacing w:after="40" w:before="40" w:lineRule="auto"/>
              <w:ind w:left="90" w:firstLine="0"/>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u w:val="single"/>
                <w:rtl w:val="0"/>
              </w:rPr>
              <w:t xml:space="preserve">SLO 7</w:t>
            </w:r>
            <w:r w:rsidDel="00000000" w:rsidR="00000000" w:rsidRPr="00000000">
              <w:rPr>
                <w:rFonts w:ascii="Calibri" w:cs="Calibri" w:eastAsia="Calibri" w:hAnsi="Calibri"/>
                <w:b w:val="1"/>
                <w:color w:val="2e75b5"/>
                <w:sz w:val="20"/>
                <w:szCs w:val="20"/>
                <w:rtl w:val="0"/>
              </w:rPr>
              <w:t xml:space="preserve">: Students will be able to evaluate the extent to which social systems influence equity and reflect innate human dignity (Introduce, Develop, Achieve)</w:t>
            </w:r>
          </w:p>
          <w:p w:rsidR="00000000" w:rsidDel="00000000" w:rsidP="00000000" w:rsidRDefault="00000000" w:rsidRPr="00000000" w14:paraId="0000007A">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7B">
            <w:pPr>
              <w:tabs>
                <w:tab w:val="left" w:leader="none" w:pos="6660"/>
              </w:tabs>
              <w:spacing w:after="40" w:before="40" w:lineRule="auto"/>
              <w:ind w:left="90" w:firstLine="0"/>
              <w:rPr>
                <w:rFonts w:ascii="Calibri" w:cs="Calibri" w:eastAsia="Calibri" w:hAnsi="Calibri"/>
                <w:color w:val="2e75b5"/>
                <w:sz w:val="20"/>
                <w:szCs w:val="20"/>
              </w:rPr>
            </w:pPr>
            <w:sdt>
              <w:sdtPr>
                <w:tag w:val="goog_rdk_5"/>
              </w:sdtPr>
              <w:sdtContent>
                <w:r w:rsidDel="00000000" w:rsidR="00000000" w:rsidRPr="00000000">
                  <w:rPr>
                    <w:rFonts w:ascii="Arial Unicode MS" w:cs="Arial Unicode MS" w:eastAsia="Arial Unicode MS" w:hAnsi="Arial Unicode MS"/>
                    <w:color w:val="2e75b5"/>
                    <w:sz w:val="20"/>
                    <w:szCs w:val="20"/>
                    <w:rtl w:val="0"/>
                  </w:rPr>
                  <w:t xml:space="preserve">☐</w:t>
                </w:r>
              </w:sdtContent>
            </w:sdt>
            <w:r w:rsidDel="00000000" w:rsidR="00000000" w:rsidRPr="00000000">
              <w:rPr>
                <w:rFonts w:ascii="Calibri" w:cs="Calibri" w:eastAsia="Calibri" w:hAnsi="Calibri"/>
                <w:color w:val="2e75b5"/>
                <w:sz w:val="20"/>
                <w:szCs w:val="20"/>
                <w:rtl w:val="0"/>
              </w:rPr>
              <w:t xml:space="preserve"> Check here if submitting UUCC </w:t>
            </w:r>
          </w:p>
          <w:p w:rsidR="00000000" w:rsidDel="00000000" w:rsidP="00000000" w:rsidRDefault="00000000" w:rsidRPr="00000000" w14:paraId="0000007C">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        requested revisions</w:t>
            </w:r>
          </w:p>
          <w:p w:rsidR="00000000" w:rsidDel="00000000" w:rsidP="00000000" w:rsidRDefault="00000000" w:rsidRPr="00000000" w14:paraId="0000007D">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6660"/>
              </w:tabs>
              <w:spacing w:after="40" w:before="40" w:lineRule="auto"/>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In what ways will your students evaluate the influence of social systems on issues of human dignity, justice and equity? </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6660"/>
              </w:tabs>
              <w:spacing w:after="40" w:before="40" w:lineRule="auto"/>
              <w:ind w:left="720" w:firstLine="0"/>
              <w:rPr>
                <w:rFonts w:ascii="Calibri" w:cs="Calibri" w:eastAsia="Calibri" w:hAnsi="Calibri"/>
                <w:color w:val="ff0000"/>
                <w:sz w:val="20"/>
                <w:szCs w:val="20"/>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424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F0F33"/>
    <w:rPr>
      <w:color w:val="0563c1" w:themeColor="hyperlink"/>
      <w:u w:val="single"/>
    </w:rPr>
  </w:style>
  <w:style w:type="character" w:styleId="FollowedHyperlink">
    <w:name w:val="FollowedHyperlink"/>
    <w:basedOn w:val="DefaultParagraphFont"/>
    <w:uiPriority w:val="99"/>
    <w:semiHidden w:val="1"/>
    <w:unhideWhenUsed w:val="1"/>
    <w:rsid w:val="000F0F33"/>
    <w:rPr>
      <w:color w:val="954f72" w:themeColor="followedHyperlink"/>
      <w:u w:val="single"/>
    </w:rPr>
  </w:style>
  <w:style w:type="table" w:styleId="TableGrid1" w:customStyle="1">
    <w:name w:val="Table Grid1"/>
    <w:basedOn w:val="TableNormal"/>
    <w:next w:val="TableGrid"/>
    <w:uiPriority w:val="39"/>
    <w:rsid w:val="005F7C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E1F7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E1F74"/>
    <w:rPr>
      <w:rFonts w:ascii="Segoe UI" w:cs="Segoe UI" w:hAnsi="Segoe UI"/>
      <w:sz w:val="18"/>
      <w:szCs w:val="18"/>
    </w:rPr>
  </w:style>
  <w:style w:type="character" w:styleId="UnresolvedMention">
    <w:name w:val="Unresolved Mention"/>
    <w:basedOn w:val="DefaultParagraphFont"/>
    <w:uiPriority w:val="99"/>
    <w:semiHidden w:val="1"/>
    <w:unhideWhenUsed w:val="1"/>
    <w:rsid w:val="00324F49"/>
    <w:rPr>
      <w:color w:val="605e5c"/>
      <w:shd w:color="auto" w:fill="e1dfdd" w:val="clear"/>
    </w:rPr>
  </w:style>
  <w:style w:type="paragraph" w:styleId="NormalWeb">
    <w:name w:val="Normal (Web)"/>
    <w:basedOn w:val="Normal"/>
    <w:uiPriority w:val="99"/>
    <w:unhideWhenUsed w:val="1"/>
    <w:rsid w:val="005A02FC"/>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YzB1_oxK_kaq479ljUVmT2v4tzzPJPP/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3F2iYzl8n9+njJIEhn+G+gWS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WguMzBqMHpsbDgAciExRmN6SHcxVEtZeHFEdC1STl84ZFJuazNGU1pScms2M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2024-05-09T19:53:00Z</dcterms:created>
  <dc:creator>Jamie Zurliene</dc:creator>
</cp:coreProperties>
</file>