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8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10005"/>
        <w:tblGridChange w:id="0">
          <w:tblGrid>
            <w:gridCol w:w="3825"/>
            <w:gridCol w:w="10005"/>
          </w:tblGrid>
        </w:tblGridChange>
      </w:tblGrid>
      <w:tr>
        <w:trPr>
          <w:cantSplit w:val="0"/>
          <w:tblHeader w:val="0"/>
        </w:trPr>
        <w:tc>
          <w:tcPr>
            <w:gridSpan w:val="2"/>
            <w:shd w:fill="d9e2f3" w:val="clear"/>
          </w:tcPr>
          <w:p w:rsidR="00000000" w:rsidDel="00000000" w:rsidP="00000000" w:rsidRDefault="00000000" w:rsidRPr="00000000" w14:paraId="00000002">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 </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312"/>
        <w:gridCol w:w="7054"/>
        <w:gridCol w:w="2599"/>
        <w:tblGridChange w:id="0">
          <w:tblGrid>
            <w:gridCol w:w="3859"/>
            <w:gridCol w:w="312"/>
            <w:gridCol w:w="7054"/>
            <w:gridCol w:w="2599"/>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Eloquentia Perfecta:  Oral and Visual Communication</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3">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8">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e75b5"/>
                <w:sz w:val="20"/>
                <w:szCs w:val="20"/>
                <w:rtl w:val="0"/>
              </w:rPr>
              <w:t xml:space="preserve">Oral and Visual Communication: CMM 1200; CMMK 1210 / CORE 1950 or approved equivalent courses in any program that meet component SLOs, including courses offered in languages other than English.</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B">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C">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3</w:t>
            </w:r>
          </w:p>
        </w:tc>
      </w:tr>
      <w:tr>
        <w:trPr>
          <w:cantSplit w:val="0"/>
          <w:tblHeader w:val="0"/>
        </w:trPr>
        <w:tc>
          <w:tcPr>
            <w:shd w:fill="d9e2f3" w:val="clear"/>
          </w:tcPr>
          <w:p w:rsidR="00000000" w:rsidDel="00000000" w:rsidP="00000000" w:rsidRDefault="00000000" w:rsidRPr="00000000" w14:paraId="0000001F">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0">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e75b5"/>
                <w:sz w:val="20"/>
                <w:szCs w:val="20"/>
                <w:rtl w:val="0"/>
              </w:rPr>
              <w:t xml:space="preserve">Should be completed during a student’s first 60 credit hours at SLU</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23">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4">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e75b5"/>
                <w:sz w:val="20"/>
                <w:szCs w:val="20"/>
                <w:rtl w:val="0"/>
              </w:rPr>
              <w:t xml:space="preserve">Eloquentia Perfecta: Oral and Visual Communication Core Courses are part of a rigorous and cohesive set of courses designed to cultivate “perfect eloquence” in writing, speaking and other forms of creative public expression in alignment with the foundational goals of the Jesuit </w:t>
            </w:r>
            <w:r w:rsidDel="00000000" w:rsidR="00000000" w:rsidRPr="00000000">
              <w:rPr>
                <w:rFonts w:ascii="Calibri" w:cs="Calibri" w:eastAsia="Calibri" w:hAnsi="Calibri"/>
                <w:i w:val="1"/>
                <w:color w:val="2e75b5"/>
                <w:sz w:val="20"/>
                <w:szCs w:val="20"/>
                <w:rtl w:val="0"/>
              </w:rPr>
              <w:t xml:space="preserve">Ratio Studiorum</w:t>
            </w:r>
            <w:r w:rsidDel="00000000" w:rsidR="00000000" w:rsidRPr="00000000">
              <w:rPr>
                <w:rFonts w:ascii="Calibri" w:cs="Calibri" w:eastAsia="Calibri" w:hAnsi="Calibri"/>
                <w:color w:val="2e75b5"/>
                <w:sz w:val="20"/>
                <w:szCs w:val="20"/>
                <w:rtl w:val="0"/>
              </w:rPr>
              <w:t xml:space="preserve">. In these courses, students are trained in the five duties of the rhetorician: invention, arrangement, style, memory, and delivery. Courses that satisfy the Oral and Visual Communication requirement develop students’ ability to prepare and deliver effective oral and visual messages and arguments within academic and professional contexts and advocate for the common good. Students advance their oral and visual communication skills through assignments that require them to consider their own positions, present audience-appropriate messages and arguments, and acknowledge multiple and contradictory perspectives. In this process, students learn to evaluate oral and visual arguments and reflect on the ways in which identity, values and diverse cultural contexts shape their own and others’ oral and visual communication. They also reflect on the ways in which rhetorically fluent communication is vital to ethical public discourse, understood as effective communication in service of the common good.</w:t>
            </w: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9">
      <w:pPr>
        <w:spacing w:line="360" w:lineRule="auto"/>
        <w:jc w:val="center"/>
        <w:rPr>
          <w:b w:val="1"/>
          <w:color w:val="0563c1"/>
          <w:sz w:val="26"/>
          <w:szCs w:val="26"/>
          <w:u w:val="single"/>
        </w:rPr>
      </w:pPr>
      <w:hyperlink r:id="rId7">
        <w:r w:rsidDel="00000000" w:rsidR="00000000" w:rsidRPr="00000000">
          <w:rPr>
            <w:b w:val="1"/>
            <w:color w:val="0563c1"/>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2B">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2C">
      <w:pPr>
        <w:spacing w:line="360" w:lineRule="auto"/>
        <w:rPr>
          <w:b w:val="1"/>
        </w:rPr>
      </w:pPr>
      <w:r w:rsidDel="00000000" w:rsidR="00000000" w:rsidRPr="00000000">
        <w:rPr>
          <w:b w:val="1"/>
          <w:rtl w:val="0"/>
        </w:rPr>
        <w:t xml:space="preserve">Eloquentia Perfecta 2: Oral and Visual Communication</w:t>
      </w:r>
    </w:p>
    <w:p w:rsidR="00000000" w:rsidDel="00000000" w:rsidP="00000000" w:rsidRDefault="00000000" w:rsidRPr="00000000" w14:paraId="0000002D">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6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95"/>
        <w:tblGridChange w:id="0">
          <w:tblGrid>
            <w:gridCol w:w="13695"/>
          </w:tblGrid>
        </w:tblGridChange>
      </w:tblGrid>
      <w:tr>
        <w:trPr>
          <w:cantSplit w:val="0"/>
          <w:tblHeader w:val="0"/>
        </w:trPr>
        <w:tc>
          <w:tcPr>
            <w:shd w:fill="d0cece" w:val="clear"/>
          </w:tcPr>
          <w:p w:rsidR="00000000" w:rsidDel="00000000" w:rsidP="00000000" w:rsidRDefault="00000000" w:rsidRPr="00000000" w14:paraId="0000002E">
            <w:pPr>
              <w:rPr/>
            </w:pPr>
            <w:r w:rsidDel="00000000" w:rsidR="00000000" w:rsidRPr="00000000">
              <w:rPr>
                <w:b w:val="1"/>
                <w:rtl w:val="0"/>
              </w:rPr>
              <w:t xml:space="preserve">Eloquentia Perfecta 2: Oral and Visual Communication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2F">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0">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SLO 2: Integrate knowledge from multiple disciplines to address complex questions</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SLO 3: Assess evidence and draw reasoned conclusions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rPr/>
            </w:pPr>
            <w:r w:rsidDel="00000000" w:rsidR="00000000" w:rsidRPr="00000000">
              <w:rPr>
                <w:rtl w:val="0"/>
              </w:rPr>
              <w:t xml:space="preserve">SLO 4: Communicate effectively in writing, speech, and visual media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rPr/>
            </w:pPr>
            <w:r w:rsidDel="00000000" w:rsidR="00000000" w:rsidRPr="00000000">
              <w:rPr>
                <w:rtl w:val="0"/>
              </w:rPr>
              <w:t xml:space="preserve">SLO 5: Analyze how diverse identities influence their lives and the lives of others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rPr/>
            </w:pPr>
            <w:r w:rsidDel="00000000" w:rsidR="00000000" w:rsidRPr="00000000">
              <w:rPr>
                <w:rtl w:val="0"/>
              </w:rPr>
              <w:t xml:space="preserve">SLO 8: Collaborate with others toward a common goal</w:t>
            </w:r>
          </w:p>
        </w:tc>
      </w:tr>
    </w:tbl>
    <w:p w:rsidR="00000000" w:rsidDel="00000000" w:rsidP="00000000" w:rsidRDefault="00000000" w:rsidRPr="00000000" w14:paraId="00000036">
      <w:pPr>
        <w:rPr>
          <w:b w:val="1"/>
          <w:sz w:val="24"/>
          <w:szCs w:val="24"/>
          <w:u w:val="single"/>
        </w:rPr>
      </w:pPr>
      <w:r w:rsidDel="00000000" w:rsidR="00000000" w:rsidRPr="00000000">
        <w:rPr>
          <w:rtl w:val="0"/>
        </w:rPr>
      </w:r>
    </w:p>
    <w:tbl>
      <w:tblPr>
        <w:tblStyle w:val="Table4"/>
        <w:tblW w:w="13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10"/>
        <w:tblGridChange w:id="0">
          <w:tblGrid>
            <w:gridCol w:w="13710"/>
          </w:tblGrid>
        </w:tblGridChange>
      </w:tblGrid>
      <w:tr>
        <w:trPr>
          <w:cantSplit w:val="0"/>
          <w:tblHeader w:val="0"/>
        </w:trPr>
        <w:tc>
          <w:tcPr>
            <w:shd w:fill="d0cece" w:val="clear"/>
          </w:tcPr>
          <w:p w:rsidR="00000000" w:rsidDel="00000000" w:rsidP="00000000" w:rsidRDefault="00000000" w:rsidRPr="00000000" w14:paraId="00000037">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8">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9">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A">
            <w:pPr>
              <w:numPr>
                <w:ilvl w:val="0"/>
                <w:numId w:val="3"/>
              </w:numPr>
              <w:ind w:left="360"/>
              <w:rPr>
                <w:rFonts w:ascii="Calibri" w:cs="Calibri" w:eastAsia="Calibri" w:hAnsi="Calibri"/>
              </w:rPr>
            </w:pPr>
            <w:r w:rsidDel="00000000" w:rsidR="00000000" w:rsidRPr="00000000">
              <w:rPr>
                <w:rtl w:val="0"/>
              </w:rPr>
              <w:t xml:space="preserve">Analyze oral and visual messages and arguments and their implications from multiple and contradictory perspectives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B">
            <w:pPr>
              <w:numPr>
                <w:ilvl w:val="0"/>
                <w:numId w:val="3"/>
              </w:numPr>
              <w:ind w:left="360"/>
              <w:rPr>
                <w:rFonts w:ascii="Calibri" w:cs="Calibri" w:eastAsia="Calibri" w:hAnsi="Calibri"/>
              </w:rPr>
            </w:pPr>
            <w:r w:rsidDel="00000000" w:rsidR="00000000" w:rsidRPr="00000000">
              <w:rPr>
                <w:rtl w:val="0"/>
              </w:rPr>
              <w:t xml:space="preserve">Critically examine how identity, values and diverse cultural contexts shape and inform oral and visual communication</w:t>
            </w:r>
          </w:p>
        </w:tc>
      </w:tr>
      <w:tr>
        <w:trPr>
          <w:cantSplit w:val="0"/>
          <w:tblHeader w:val="0"/>
        </w:trPr>
        <w:tc>
          <w:tcPr/>
          <w:p w:rsidR="00000000" w:rsidDel="00000000" w:rsidP="00000000" w:rsidRDefault="00000000" w:rsidRPr="00000000" w14:paraId="0000003C">
            <w:pPr>
              <w:numPr>
                <w:ilvl w:val="0"/>
                <w:numId w:val="4"/>
              </w:numPr>
              <w:ind w:left="330"/>
            </w:pPr>
            <w:r w:rsidDel="00000000" w:rsidR="00000000" w:rsidRPr="00000000">
              <w:rPr>
                <w:rtl w:val="0"/>
              </w:rPr>
              <w:t xml:space="preserve">Prepare and deliver well-organized, well-supported, and audience-appropriate oral and visual messages and arguments</w:t>
            </w:r>
          </w:p>
        </w:tc>
      </w:tr>
      <w:tr>
        <w:trPr>
          <w:cantSplit w:val="0"/>
          <w:tblHeader w:val="0"/>
        </w:trPr>
        <w:tc>
          <w:tcPr/>
          <w:p w:rsidR="00000000" w:rsidDel="00000000" w:rsidP="00000000" w:rsidRDefault="00000000" w:rsidRPr="00000000" w14:paraId="0000003D">
            <w:pPr>
              <w:numPr>
                <w:ilvl w:val="0"/>
                <w:numId w:val="8"/>
              </w:numPr>
              <w:ind w:left="360" w:hanging="360"/>
              <w:rPr>
                <w:u w:val="none"/>
              </w:rPr>
            </w:pPr>
            <w:r w:rsidDel="00000000" w:rsidR="00000000" w:rsidRPr="00000000">
              <w:rPr>
                <w:rtl w:val="0"/>
              </w:rPr>
              <w:t xml:space="preserve">Collaborate effectively within a group communication experience</w:t>
            </w:r>
          </w:p>
        </w:tc>
      </w:tr>
      <w:tr>
        <w:trPr>
          <w:cantSplit w:val="0"/>
          <w:tblHeader w:val="0"/>
        </w:trPr>
        <w:tc>
          <w:tcPr/>
          <w:p w:rsidR="00000000" w:rsidDel="00000000" w:rsidP="00000000" w:rsidRDefault="00000000" w:rsidRPr="00000000" w14:paraId="0000003E">
            <w:pPr>
              <w:numPr>
                <w:ilvl w:val="0"/>
                <w:numId w:val="8"/>
              </w:numPr>
              <w:ind w:left="360"/>
            </w:pPr>
            <w:r w:rsidDel="00000000" w:rsidR="00000000" w:rsidRPr="00000000">
              <w:rPr>
                <w:rtl w:val="0"/>
              </w:rPr>
              <w:t xml:space="preserve">Reflect on ​​the ways in which rhetorically proficient oral and visual communication contributes to ethical public discourse</w:t>
            </w:r>
          </w:p>
        </w:tc>
      </w:tr>
    </w:tbl>
    <w:p w:rsidR="00000000" w:rsidDel="00000000" w:rsidP="00000000" w:rsidRDefault="00000000" w:rsidRPr="00000000" w14:paraId="0000003F">
      <w:pPr>
        <w:pBdr>
          <w:bottom w:color="000000" w:space="1" w:sz="12" w:val="single"/>
        </w:pBdr>
        <w:spacing w:line="360" w:lineRule="auto"/>
        <w:rPr/>
      </w:pPr>
      <w:r w:rsidDel="00000000" w:rsidR="00000000" w:rsidRPr="00000000">
        <w:rPr>
          <w:rtl w:val="0"/>
        </w:rPr>
      </w:r>
    </w:p>
    <w:tbl>
      <w:tblPr>
        <w:tblStyle w:val="Table5"/>
        <w:tblW w:w="136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475"/>
        <w:tblGridChange w:id="0">
          <w:tblGrid>
            <w:gridCol w:w="3855"/>
            <w:gridCol w:w="7365"/>
            <w:gridCol w:w="2475"/>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0">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2">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3">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Below, you will find listed the 5 course-level student learning outcomes associated with this Core component area.  </w:t>
            </w:r>
          </w:p>
          <w:p w:rsidR="00000000" w:rsidDel="00000000" w:rsidP="00000000" w:rsidRDefault="00000000" w:rsidRPr="00000000" w14:paraId="00000044">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5">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w:t>
            </w:r>
          </w:p>
        </w:tc>
      </w:tr>
      <w:tr>
        <w:trPr>
          <w:cantSplit w:val="0"/>
          <w:trHeight w:val="1232" w:hRule="atLeast"/>
          <w:tblHeader w:val="0"/>
        </w:trPr>
        <w:tc>
          <w:tcPr>
            <w:shd w:fill="d9e2f3" w:val="clear"/>
          </w:tcPr>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analyze oral and visual messages and arguments and their implications from multiple and contradictory perspectives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720" w:right="0" w:firstLine="0"/>
              <w:jc w:val="left"/>
              <w:rPr>
                <w:color w:val="2e75b5"/>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4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apply best practices in oral communication pedagogy to ensure student learning? </w:t>
            </w:r>
          </w:p>
          <w:p w:rsidR="00000000" w:rsidDel="00000000" w:rsidP="00000000" w:rsidRDefault="00000000" w:rsidRPr="00000000" w14:paraId="0000004C">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4D">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to confirm that you have/will confer with the appropriate Core Associate Director to determine need for pedagogical orientation prior to teaching this class</w:t>
            </w:r>
          </w:p>
          <w:p w:rsidR="00000000" w:rsidDel="00000000" w:rsidP="00000000" w:rsidRDefault="00000000" w:rsidRPr="00000000" w14:paraId="0000004E">
            <w:pPr>
              <w:tabs>
                <w:tab w:val="left" w:leader="none" w:pos="6660"/>
              </w:tabs>
              <w:spacing w:after="40" w:before="40" w:lineRule="auto"/>
              <w:ind w:left="360" w:firstLine="0"/>
              <w:rPr>
                <w:color w:val="2e75b5"/>
                <w:sz w:val="20"/>
                <w:szCs w:val="20"/>
              </w:rPr>
            </w:pPr>
            <w:r w:rsidDel="00000000" w:rsidR="00000000" w:rsidRPr="00000000">
              <w:rPr>
                <w:rtl w:val="0"/>
              </w:rPr>
            </w:r>
          </w:p>
          <w:p w:rsidR="00000000" w:rsidDel="00000000" w:rsidP="00000000" w:rsidRDefault="00000000" w:rsidRPr="00000000" w14:paraId="0000004F">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to confirm that this Oral and Visual Communication course will be taught at a maximum of 20:1 student/instructor ratio (per standards for public speaking courses set by national professional organizations, e.g. National Communication Association [NCA])</w:t>
            </w:r>
          </w:p>
        </w:tc>
      </w:tr>
      <w:tr>
        <w:trPr>
          <w:cantSplit w:val="0"/>
          <w:trHeight w:val="1763" w:hRule="atLeast"/>
          <w:tblHeader w:val="0"/>
        </w:trPr>
        <w:tc>
          <w:tcPr>
            <w:shd w:fill="d9e2f3" w:val="clear"/>
          </w:tcPr>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critically examine how identity, values and diverse cultural contexts shape and inform oral and visual communication</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6660"/>
              </w:tabs>
              <w:spacing w:before="40" w:lineRule="auto"/>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6660"/>
              </w:tabs>
              <w:spacing w:before="40" w:lineRule="auto"/>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55">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tabs>
                <w:tab w:val="left" w:leader="none" w:pos="6660"/>
              </w:tabs>
              <w:ind w:left="360" w:hanging="270"/>
              <w:rPr>
                <w:rFonts w:ascii="Calibri" w:cs="Calibri" w:eastAsia="Calibri" w:hAnsi="Calibri"/>
                <w:color w:val="2e75b5"/>
                <w:sz w:val="20"/>
                <w:szCs w:val="20"/>
                <w:u w:val="none"/>
              </w:rPr>
            </w:pPr>
            <w:r w:rsidDel="00000000" w:rsidR="00000000" w:rsidRPr="00000000">
              <w:rPr>
                <w:rFonts w:ascii="Calibri" w:cs="Calibri" w:eastAsia="Calibri" w:hAnsi="Calibri"/>
                <w:color w:val="2e75b5"/>
                <w:sz w:val="20"/>
                <w:szCs w:val="20"/>
                <w:rtl w:val="0"/>
              </w:rPr>
              <w:t xml:space="preserve">Students will be able to prepare and deliver well-organized, well-supported, and audience-appropriate oral and visual messages and arguments</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6660"/>
              </w:tabs>
              <w:ind w:left="360" w:firstLine="0"/>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6660"/>
              </w:tabs>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w:t>
            </w:r>
          </w:p>
        </w:tc>
        <w:tc>
          <w:tcPr>
            <w:gridSpan w:val="2"/>
          </w:tcPr>
          <w:p w:rsidR="00000000" w:rsidDel="00000000" w:rsidP="00000000" w:rsidRDefault="00000000" w:rsidRPr="00000000" w14:paraId="0000005A">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you ensure that oral and visual communication instruction is central to the course, with formal and informal assignments spread throughout the term?</w:t>
            </w:r>
          </w:p>
        </w:tc>
      </w:tr>
      <w:tr>
        <w:trPr>
          <w:cantSplit w:val="0"/>
          <w:trHeight w:val="1313" w:hRule="atLeast"/>
          <w:tblHeader w:val="0"/>
        </w:trPr>
        <w:tc>
          <w:tcPr>
            <w:shd w:fill="d9e2f3" w:val="clear"/>
          </w:tcPr>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tabs>
                <w:tab w:val="left" w:leader="none" w:pos="6660"/>
              </w:tabs>
              <w:ind w:left="360" w:hanging="270"/>
              <w:rPr>
                <w:rFonts w:ascii="Calibri" w:cs="Calibri" w:eastAsia="Calibri" w:hAnsi="Calibri"/>
                <w:color w:val="2e75b5"/>
                <w:sz w:val="20"/>
                <w:szCs w:val="20"/>
                <w:u w:val="none"/>
              </w:rPr>
            </w:pPr>
            <w:r w:rsidDel="00000000" w:rsidR="00000000" w:rsidRPr="00000000">
              <w:rPr>
                <w:rFonts w:ascii="Calibri" w:cs="Calibri" w:eastAsia="Calibri" w:hAnsi="Calibri"/>
                <w:color w:val="2e75b5"/>
                <w:sz w:val="20"/>
                <w:szCs w:val="20"/>
                <w:rtl w:val="0"/>
              </w:rPr>
              <w:t xml:space="preserve">Students will be able to collaborate effectively within a group communication experience</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6660"/>
              </w:tabs>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6660"/>
              </w:tabs>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60">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2">
            <w:pPr>
              <w:numPr>
                <w:ilvl w:val="0"/>
                <w:numId w:val="7"/>
              </w:numPr>
              <w:pBdr>
                <w:top w:space="0" w:sz="0" w:val="nil"/>
                <w:left w:space="0" w:sz="0" w:val="nil"/>
                <w:bottom w:space="0" w:sz="0" w:val="nil"/>
                <w:right w:space="0" w:sz="0" w:val="nil"/>
                <w:between w:space="0" w:sz="0" w:val="nil"/>
              </w:pBdr>
              <w:tabs>
                <w:tab w:val="left" w:leader="none" w:pos="6660"/>
              </w:tabs>
              <w:ind w:left="360" w:hanging="270"/>
              <w:rPr>
                <w:rFonts w:ascii="Calibri" w:cs="Calibri" w:eastAsia="Calibri" w:hAnsi="Calibri"/>
                <w:color w:val="2e75b5"/>
                <w:sz w:val="20"/>
                <w:szCs w:val="20"/>
                <w:u w:val="none"/>
              </w:rPr>
            </w:pPr>
            <w:r w:rsidDel="00000000" w:rsidR="00000000" w:rsidRPr="00000000">
              <w:rPr>
                <w:rFonts w:ascii="Calibri" w:cs="Calibri" w:eastAsia="Calibri" w:hAnsi="Calibri"/>
                <w:color w:val="2e75b5"/>
                <w:sz w:val="20"/>
                <w:szCs w:val="20"/>
                <w:rtl w:val="0"/>
              </w:rPr>
              <w:t xml:space="preserve">Students will be able to reflect on the ways in which rhetorically proficient oral and visual communication contributes to ethical public discourse</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6660"/>
              </w:tabs>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6660"/>
              </w:tabs>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66">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A">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C">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D">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5 University Core-level student learning outcomes associated with this Core component area.</w:t>
            </w:r>
          </w:p>
          <w:p w:rsidR="00000000" w:rsidDel="00000000" w:rsidP="00000000" w:rsidRDefault="00000000" w:rsidRPr="00000000" w14:paraId="0000006E">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6F">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5 outcomes at the levels indicated in parentheses.</w:t>
            </w:r>
            <w:r w:rsidDel="00000000" w:rsidR="00000000" w:rsidRPr="00000000">
              <w:rPr>
                <w:rtl w:val="0"/>
              </w:rPr>
            </w:r>
          </w:p>
        </w:tc>
      </w:tr>
      <w:tr>
        <w:trPr>
          <w:cantSplit w:val="0"/>
          <w:trHeight w:val="1358" w:hRule="atLeast"/>
          <w:tblHeader w:val="0"/>
        </w:trPr>
        <w:tc>
          <w:tcPr>
            <w:shd w:fill="d9e2f3" w:val="clear"/>
          </w:tcPr>
          <w:p w:rsidR="00000000" w:rsidDel="00000000" w:rsidP="00000000" w:rsidRDefault="00000000" w:rsidRPr="00000000" w14:paraId="00000071">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2</w:t>
            </w:r>
            <w:r w:rsidDel="00000000" w:rsidR="00000000" w:rsidRPr="00000000">
              <w:rPr>
                <w:b w:val="1"/>
                <w:color w:val="2e75b5"/>
                <w:sz w:val="20"/>
                <w:szCs w:val="20"/>
                <w:rtl w:val="0"/>
              </w:rPr>
              <w:t xml:space="preserve">: Students will be able to integrate knowledge from multiple disciplines to address complex questions (Introduce)</w:t>
            </w:r>
          </w:p>
          <w:p w:rsidR="00000000" w:rsidDel="00000000" w:rsidP="00000000" w:rsidRDefault="00000000" w:rsidRPr="00000000" w14:paraId="00000072">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73">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w:t>
            </w:r>
          </w:p>
          <w:p w:rsidR="00000000" w:rsidDel="00000000" w:rsidP="00000000" w:rsidRDefault="00000000" w:rsidRPr="00000000" w14:paraId="00000074">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75">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76">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160" w:hRule="atLeast"/>
          <w:tblHeader w:val="0"/>
        </w:trPr>
        <w:tc>
          <w:tcPr>
            <w:shd w:fill="d9e2f3" w:val="clear"/>
          </w:tcPr>
          <w:p w:rsidR="00000000" w:rsidDel="00000000" w:rsidP="00000000" w:rsidRDefault="00000000" w:rsidRPr="00000000" w14:paraId="00000078">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Students will be able to assess evidence and draw reasoned conclusions (Introduce)</w:t>
            </w:r>
          </w:p>
          <w:p w:rsidR="00000000" w:rsidDel="00000000" w:rsidP="00000000" w:rsidRDefault="00000000" w:rsidRPr="00000000" w14:paraId="00000079">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A">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w:t>
            </w:r>
          </w:p>
          <w:p w:rsidR="00000000" w:rsidDel="00000000" w:rsidP="00000000" w:rsidRDefault="00000000" w:rsidRPr="00000000" w14:paraId="0000007B">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7C">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D">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F">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4</w:t>
            </w:r>
            <w:r w:rsidDel="00000000" w:rsidR="00000000" w:rsidRPr="00000000">
              <w:rPr>
                <w:b w:val="1"/>
                <w:color w:val="2e75b5"/>
                <w:sz w:val="20"/>
                <w:szCs w:val="20"/>
                <w:rtl w:val="0"/>
              </w:rPr>
              <w:t xml:space="preserve">:  Students will be able to communicate effectively in writing, speech, and visual media (Introduce, Develop)</w:t>
            </w:r>
          </w:p>
          <w:p w:rsidR="00000000" w:rsidDel="00000000" w:rsidP="00000000" w:rsidRDefault="00000000" w:rsidRPr="00000000" w14:paraId="00000080">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81">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w:t>
            </w:r>
          </w:p>
          <w:p w:rsidR="00000000" w:rsidDel="00000000" w:rsidP="00000000" w:rsidRDefault="00000000" w:rsidRPr="00000000" w14:paraId="00000082">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83">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84">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86">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5</w:t>
            </w:r>
            <w:r w:rsidDel="00000000" w:rsidR="00000000" w:rsidRPr="00000000">
              <w:rPr>
                <w:b w:val="1"/>
                <w:color w:val="2e75b5"/>
                <w:sz w:val="20"/>
                <w:szCs w:val="20"/>
                <w:rtl w:val="0"/>
              </w:rPr>
              <w:t xml:space="preserve">: Students will be able to analyze how diverse identities influence their lives and the lives of others (Introduce, Develop)</w:t>
            </w:r>
          </w:p>
          <w:p w:rsidR="00000000" w:rsidDel="00000000" w:rsidP="00000000" w:rsidRDefault="00000000" w:rsidRPr="00000000" w14:paraId="00000087">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88">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w:t>
            </w:r>
          </w:p>
          <w:p w:rsidR="00000000" w:rsidDel="00000000" w:rsidP="00000000" w:rsidRDefault="00000000" w:rsidRPr="00000000" w14:paraId="00000089">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8A">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8B">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8D">
            <w:pPr>
              <w:tabs>
                <w:tab w:val="left" w:leader="none" w:pos="6660"/>
              </w:tabs>
              <w:spacing w:after="40" w:before="40" w:lineRule="auto"/>
              <w:ind w:left="90" w:firstLine="0"/>
              <w:rPr>
                <w:b w:val="1"/>
                <w:color w:val="2e75b5"/>
                <w:sz w:val="20"/>
                <w:szCs w:val="20"/>
                <w:u w:val="single"/>
              </w:rPr>
            </w:pPr>
            <w:r w:rsidDel="00000000" w:rsidR="00000000" w:rsidRPr="00000000">
              <w:rPr>
                <w:b w:val="1"/>
                <w:color w:val="2e75b5"/>
                <w:sz w:val="20"/>
                <w:szCs w:val="20"/>
                <w:u w:val="single"/>
                <w:rtl w:val="0"/>
              </w:rPr>
              <w:t xml:space="preserve">SLO 8</w:t>
            </w:r>
            <w:r w:rsidDel="00000000" w:rsidR="00000000" w:rsidRPr="00000000">
              <w:rPr>
                <w:b w:val="1"/>
                <w:color w:val="2e75b5"/>
                <w:sz w:val="20"/>
                <w:szCs w:val="20"/>
                <w:rtl w:val="0"/>
              </w:rPr>
              <w:t xml:space="preserve">:  Students will be able to collaborate with others toward a common goal (Introduce)</w:t>
            </w:r>
            <w:r w:rsidDel="00000000" w:rsidR="00000000" w:rsidRPr="00000000">
              <w:rPr>
                <w:rtl w:val="0"/>
              </w:rPr>
            </w:r>
          </w:p>
          <w:p w:rsidR="00000000" w:rsidDel="00000000" w:rsidP="00000000" w:rsidRDefault="00000000" w:rsidRPr="00000000" w14:paraId="0000008E">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8F">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w:t>
            </w:r>
          </w:p>
          <w:p w:rsidR="00000000" w:rsidDel="00000000" w:rsidP="00000000" w:rsidRDefault="00000000" w:rsidRPr="00000000" w14:paraId="00000090">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91">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92">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D1C19"/>
    <w:rPr>
      <w:color w:val="0563c1" w:themeColor="hyperlink"/>
      <w:u w:val="single"/>
    </w:rPr>
  </w:style>
  <w:style w:type="character" w:styleId="FollowedHyperlink">
    <w:name w:val="FollowedHyperlink"/>
    <w:basedOn w:val="DefaultParagraphFont"/>
    <w:uiPriority w:val="99"/>
    <w:semiHidden w:val="1"/>
    <w:unhideWhenUsed w:val="1"/>
    <w:rsid w:val="009D1C19"/>
    <w:rPr>
      <w:color w:val="954f72" w:themeColor="followedHyperlink"/>
      <w:u w:val="single"/>
    </w:rPr>
  </w:style>
  <w:style w:type="table" w:styleId="TableGrid1" w:customStyle="1">
    <w:name w:val="Table Grid1"/>
    <w:basedOn w:val="TableNormal"/>
    <w:next w:val="TableGrid"/>
    <w:uiPriority w:val="39"/>
    <w:rsid w:val="00304DAE"/>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BB329F"/>
    <w:rPr>
      <w:color w:val="808080"/>
    </w:rPr>
  </w:style>
  <w:style w:type="character" w:styleId="UnresolvedMention">
    <w:name w:val="Unresolved Mention"/>
    <w:basedOn w:val="DefaultParagraphFont"/>
    <w:uiPriority w:val="99"/>
    <w:semiHidden w:val="1"/>
    <w:unhideWhenUsed w:val="1"/>
    <w:rsid w:val="00D7639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D0odqrtRbhIfz_qqkG9xdYEL9HHDhsD0/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qPM3x/VzmhlF7Wo2zCYDVuIqA==">CgMxLjA4AHIhMWx2MVJscDBrQXpTZzZ1QUQ4VXFPblQ4NVg3X2VFNWpF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2020-09-30T15:49:00Z</dcterms:created>
  <dc:creator>Jamie Zurliene</dc:creator>
</cp:coreProperties>
</file>