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7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9930"/>
        <w:tblGridChange w:id="0">
          <w:tblGrid>
            <w:gridCol w:w="3840"/>
            <w:gridCol w:w="9930"/>
          </w:tblGrid>
        </w:tblGridChange>
      </w:tblGrid>
      <w:tr>
        <w:trPr>
          <w:cantSplit w:val="0"/>
          <w:trHeight w:val="280" w:hRule="atLeast"/>
          <w:tblHeader w:val="0"/>
        </w:trPr>
        <w:tc>
          <w:tcPr>
            <w:gridSpan w:val="2"/>
            <w:shd w:fill="d9e2f3" w:val="clear"/>
          </w:tcPr>
          <w:p w:rsidR="00000000" w:rsidDel="00000000" w:rsidP="00000000" w:rsidRDefault="00000000" w:rsidRPr="00000000" w14:paraId="00000002">
            <w:pPr>
              <w:rPr>
                <w:b w:val="1"/>
                <w:color w:val="2e75b5"/>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right="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13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15"/>
        <w:gridCol w:w="7050"/>
        <w:gridCol w:w="2460"/>
        <w:tblGridChange w:id="0">
          <w:tblGrid>
            <w:gridCol w:w="3855"/>
            <w:gridCol w:w="315"/>
            <w:gridCol w:w="7050"/>
            <w:gridCol w:w="2460"/>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E">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Eloquentia Perfecta:  Written and Visual Communication</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1">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4">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6">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7">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f5496"/>
                <w:sz w:val="20"/>
                <w:szCs w:val="20"/>
                <w:rtl w:val="0"/>
              </w:rPr>
              <w:t xml:space="preserve">Eloquentia Perfecta: </w:t>
            </w:r>
            <w:r w:rsidDel="00000000" w:rsidR="00000000" w:rsidRPr="00000000">
              <w:rPr>
                <w:rFonts w:ascii="Calibri" w:cs="Calibri" w:eastAsia="Calibri" w:hAnsi="Calibri"/>
                <w:color w:val="2e75b5"/>
                <w:sz w:val="20"/>
                <w:szCs w:val="20"/>
                <w:rtl w:val="0"/>
              </w:rPr>
              <w:t xml:space="preserve">Written</w:t>
            </w:r>
            <w:r w:rsidDel="00000000" w:rsidR="00000000" w:rsidRPr="00000000">
              <w:rPr>
                <w:rFonts w:ascii="Calibri" w:cs="Calibri" w:eastAsia="Calibri" w:hAnsi="Calibri"/>
                <w:color w:val="2f5496"/>
                <w:sz w:val="20"/>
                <w:szCs w:val="20"/>
                <w:rtl w:val="0"/>
              </w:rPr>
              <w:t xml:space="preserve"> and Visual Communication: ENGL 1900; ENGL 1920; ENGL 2005 (1905); EAP 1900 / CORE 1900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A">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B">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3</w:t>
            </w:r>
          </w:p>
        </w:tc>
      </w:tr>
      <w:tr>
        <w:trPr>
          <w:cantSplit w:val="0"/>
          <w:tblHeader w:val="0"/>
        </w:trPr>
        <w:tc>
          <w:tcPr>
            <w:shd w:fill="d9e2f3" w:val="clear"/>
          </w:tcPr>
          <w:p w:rsidR="00000000" w:rsidDel="00000000" w:rsidP="00000000" w:rsidRDefault="00000000" w:rsidRPr="00000000" w14:paraId="0000001E">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1F">
            <w:pPr>
              <w:tabs>
                <w:tab w:val="left" w:leader="none" w:pos="6660"/>
              </w:tabs>
              <w:spacing w:after="40" w:before="40" w:lineRule="auto"/>
              <w:rPr>
                <w:rFonts w:ascii="Calibri" w:cs="Calibri" w:eastAsia="Calibri" w:hAnsi="Calibri"/>
                <w:color w:val="2f5496"/>
                <w:sz w:val="20"/>
                <w:szCs w:val="20"/>
              </w:rPr>
            </w:pPr>
            <w:r w:rsidDel="00000000" w:rsidR="00000000" w:rsidRPr="00000000">
              <w:rPr>
                <w:rFonts w:ascii="Calibri" w:cs="Calibri" w:eastAsia="Calibri" w:hAnsi="Calibri"/>
                <w:color w:val="2f5496"/>
                <w:sz w:val="20"/>
                <w:szCs w:val="20"/>
                <w:rtl w:val="0"/>
              </w:rPr>
              <w:t xml:space="preserve">Pre-requisites: ONE OF THE FOLLOWING: ENGL 1500; PST [ENGL] 1505; EAP 1500; ACT English with a minimum score of 25; SAT Verbal with a minimum score of 600; EVIDENCE-BASED READ/WRIT SCORE with a minimum score of 600; or SLU English Portfolio with a minimum score of P.</w:t>
            </w:r>
          </w:p>
          <w:p w:rsidR="00000000" w:rsidDel="00000000" w:rsidP="00000000" w:rsidRDefault="00000000" w:rsidRPr="00000000" w14:paraId="00000020">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f5496"/>
                <w:sz w:val="20"/>
                <w:szCs w:val="20"/>
                <w:rtl w:val="0"/>
              </w:rPr>
              <w:t xml:space="preserve">Should be completed during a student’s first 36 credit hours at SLU</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23">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4">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f5496"/>
                <w:sz w:val="20"/>
                <w:szCs w:val="20"/>
                <w:rtl w:val="0"/>
              </w:rPr>
              <w:t xml:space="preserve">Eloquentia Perfecta: Written and Visual Communication Core Courses are part of a rigorous and cohesive sequence designed to cultivate “perfect eloquence” in writing, speaking and other forms of creative public expression in alignment with the foundational goals of the Jesuit </w:t>
            </w:r>
            <w:r w:rsidDel="00000000" w:rsidR="00000000" w:rsidRPr="00000000">
              <w:rPr>
                <w:rFonts w:ascii="Calibri" w:cs="Calibri" w:eastAsia="Calibri" w:hAnsi="Calibri"/>
                <w:i w:val="1"/>
                <w:color w:val="2f5496"/>
                <w:sz w:val="20"/>
                <w:szCs w:val="20"/>
                <w:rtl w:val="0"/>
              </w:rPr>
              <w:t xml:space="preserve">Ratio Studiorum</w:t>
            </w:r>
            <w:r w:rsidDel="00000000" w:rsidR="00000000" w:rsidRPr="00000000">
              <w:rPr>
                <w:rFonts w:ascii="Calibri" w:cs="Calibri" w:eastAsia="Calibri" w:hAnsi="Calibri"/>
                <w:color w:val="2f5496"/>
                <w:sz w:val="20"/>
                <w:szCs w:val="20"/>
                <w:rtl w:val="0"/>
              </w:rPr>
              <w:t xml:space="preserve">. In these courses, students are trained in the five duties of the rhetorician: invention, arrangement, style, memory, and delivery.  Courses that satisfy the Written and Visual Requirement develop students’ ability to write effective messages and arguments in expository prose, design effective visual messages and arguments, participate in academic discourse, and advocate for the common good. Students advance their writing and visual design skills through a variety of formal and informal assignments that require several stages of invention and revision and the acknowledgement of multiple and contradictory perspectives. Through these assignments, students gain rhetorical awareness of purposes, audiences, and contexts. They also reflect on the ways in which rhetorically fluent communication is vital to ethical public discourse, understood as effective communication in service of the common good.</w:t>
            </w:r>
            <w:r w:rsidDel="00000000" w:rsidR="00000000" w:rsidRPr="00000000">
              <w:rPr>
                <w:rtl w:val="0"/>
              </w:rPr>
            </w:r>
          </w:p>
        </w:tc>
      </w:tr>
    </w:tbl>
    <w:p w:rsidR="00000000" w:rsidDel="00000000" w:rsidP="00000000" w:rsidRDefault="00000000" w:rsidRPr="00000000" w14:paraId="00000027">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8">
      <w:pPr>
        <w:spacing w:line="360" w:lineRule="auto"/>
        <w:jc w:val="center"/>
        <w:rPr>
          <w:b w:val="1"/>
          <w:color w:val="0563c1"/>
          <w:sz w:val="26"/>
          <w:szCs w:val="26"/>
          <w:u w:val="single"/>
        </w:rPr>
      </w:pPr>
      <w:hyperlink r:id="rId7">
        <w:r w:rsidDel="00000000" w:rsidR="00000000" w:rsidRPr="00000000">
          <w:rPr>
            <w:b w:val="1"/>
            <w:color w:val="1155cc"/>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2A">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2B">
      <w:pPr>
        <w:spacing w:line="360" w:lineRule="auto"/>
        <w:rPr>
          <w:b w:val="1"/>
        </w:rPr>
      </w:pPr>
      <w:r w:rsidDel="00000000" w:rsidR="00000000" w:rsidRPr="00000000">
        <w:rPr>
          <w:b w:val="1"/>
          <w:rtl w:val="0"/>
        </w:rPr>
        <w:t xml:space="preserve">Eloquentia Perfecta 1: Written and Visual Communication </w:t>
      </w:r>
    </w:p>
    <w:p w:rsidR="00000000" w:rsidDel="00000000" w:rsidP="00000000" w:rsidRDefault="00000000" w:rsidRPr="00000000" w14:paraId="0000002C">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4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10"/>
        <w:tblGridChange w:id="0">
          <w:tblGrid>
            <w:gridCol w:w="13410"/>
          </w:tblGrid>
        </w:tblGridChange>
      </w:tblGrid>
      <w:tr>
        <w:trPr>
          <w:cantSplit w:val="0"/>
          <w:tblHeader w:val="0"/>
        </w:trPr>
        <w:tc>
          <w:tcPr>
            <w:shd w:fill="d0cece" w:val="clear"/>
          </w:tcPr>
          <w:p w:rsidR="00000000" w:rsidDel="00000000" w:rsidP="00000000" w:rsidRDefault="00000000" w:rsidRPr="00000000" w14:paraId="0000002D">
            <w:pPr>
              <w:rPr/>
            </w:pPr>
            <w:r w:rsidDel="00000000" w:rsidR="00000000" w:rsidRPr="00000000">
              <w:rPr>
                <w:b w:val="1"/>
                <w:rtl w:val="0"/>
              </w:rPr>
              <w:t xml:space="preserve">Eloquentia Perfecta 1: Written and Visual Communication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2E">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2F">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SLO 2: Integrate knowledge from multiple disciplines to address complex questions</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SLO 3: Assess evidence and draw reasoned conclusions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2">
            <w:pPr>
              <w:rPr/>
            </w:pPr>
            <w:r w:rsidDel="00000000" w:rsidR="00000000" w:rsidRPr="00000000">
              <w:rPr>
                <w:rtl w:val="0"/>
              </w:rPr>
              <w:t xml:space="preserve">SLO 4: Communicate effectively in writing, speech, and visual media</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SLO 8: Collaborate with others toward a common goal</w:t>
            </w:r>
          </w:p>
        </w:tc>
      </w:tr>
    </w:tbl>
    <w:p w:rsidR="00000000" w:rsidDel="00000000" w:rsidP="00000000" w:rsidRDefault="00000000" w:rsidRPr="00000000" w14:paraId="00000034">
      <w:pPr>
        <w:rPr>
          <w:b w:val="1"/>
          <w:sz w:val="24"/>
          <w:szCs w:val="24"/>
          <w:u w:val="single"/>
        </w:rPr>
      </w:pPr>
      <w:r w:rsidDel="00000000" w:rsidR="00000000" w:rsidRPr="00000000">
        <w:rPr>
          <w:rtl w:val="0"/>
        </w:rPr>
      </w:r>
    </w:p>
    <w:tbl>
      <w:tblPr>
        <w:tblStyle w:val="Table4"/>
        <w:tblW w:w="13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40"/>
        <w:tblGridChange w:id="0">
          <w:tblGrid>
            <w:gridCol w:w="13440"/>
          </w:tblGrid>
        </w:tblGridChange>
      </w:tblGrid>
      <w:tr>
        <w:trPr>
          <w:cantSplit w:val="0"/>
          <w:tblHeader w:val="0"/>
        </w:trPr>
        <w:tc>
          <w:tcPr>
            <w:shd w:fill="d0cece" w:val="clear"/>
          </w:tcPr>
          <w:p w:rsidR="00000000" w:rsidDel="00000000" w:rsidP="00000000" w:rsidRDefault="00000000" w:rsidRPr="00000000" w14:paraId="00000035">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6">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7">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8">
            <w:pPr>
              <w:numPr>
                <w:ilvl w:val="0"/>
                <w:numId w:val="8"/>
              </w:numPr>
              <w:ind w:left="360"/>
              <w:rPr>
                <w:rFonts w:ascii="Calibri" w:cs="Calibri" w:eastAsia="Calibri" w:hAnsi="Calibri"/>
              </w:rPr>
            </w:pPr>
            <w:r w:rsidDel="00000000" w:rsidR="00000000" w:rsidRPr="00000000">
              <w:rPr>
                <w:rtl w:val="0"/>
              </w:rPr>
              <w:t xml:space="preserve">Write and design purposeful messages and arguments attuned to the particularities of context and audience</w:t>
            </w:r>
          </w:p>
        </w:tc>
      </w:tr>
      <w:tr>
        <w:trPr>
          <w:cantSplit w:val="0"/>
          <w:tblHeader w:val="0"/>
        </w:trPr>
        <w:tc>
          <w:tcPr/>
          <w:p w:rsidR="00000000" w:rsidDel="00000000" w:rsidP="00000000" w:rsidRDefault="00000000" w:rsidRPr="00000000" w14:paraId="00000039">
            <w:pPr>
              <w:numPr>
                <w:ilvl w:val="0"/>
                <w:numId w:val="8"/>
              </w:numPr>
              <w:ind w:left="360"/>
              <w:rPr>
                <w:rFonts w:ascii="Calibri" w:cs="Calibri" w:eastAsia="Calibri" w:hAnsi="Calibri"/>
              </w:rPr>
            </w:pPr>
            <w:r w:rsidDel="00000000" w:rsidR="00000000" w:rsidRPr="00000000">
              <w:rPr>
                <w:rtl w:val="0"/>
              </w:rPr>
              <w:t xml:space="preserve">Analyze written and visual messages and arguments from appropriate sources from multiple and</w:t>
            </w:r>
          </w:p>
          <w:p w:rsidR="00000000" w:rsidDel="00000000" w:rsidP="00000000" w:rsidRDefault="00000000" w:rsidRPr="00000000" w14:paraId="0000003A">
            <w:pPr>
              <w:numPr>
                <w:ilvl w:val="0"/>
                <w:numId w:val="8"/>
              </w:numPr>
              <w:ind w:left="360"/>
              <w:rPr>
                <w:rFonts w:ascii="Calibri" w:cs="Calibri" w:eastAsia="Calibri" w:hAnsi="Calibri"/>
              </w:rPr>
            </w:pPr>
            <w:r w:rsidDel="00000000" w:rsidR="00000000" w:rsidRPr="00000000">
              <w:rPr>
                <w:rtl w:val="0"/>
              </w:rPr>
              <w:t xml:space="preserve">contradictory perspectives</w:t>
            </w:r>
          </w:p>
        </w:tc>
      </w:tr>
      <w:tr>
        <w:trPr>
          <w:cantSplit w:val="0"/>
          <w:tblHeader w:val="0"/>
        </w:trPr>
        <w:tc>
          <w:tcPr/>
          <w:p w:rsidR="00000000" w:rsidDel="00000000" w:rsidP="00000000" w:rsidRDefault="00000000" w:rsidRPr="00000000" w14:paraId="0000003B">
            <w:pPr>
              <w:numPr>
                <w:ilvl w:val="0"/>
                <w:numId w:val="1"/>
              </w:numPr>
              <w:ind w:left="330"/>
            </w:pPr>
            <w:r w:rsidDel="00000000" w:rsidR="00000000" w:rsidRPr="00000000">
              <w:rPr>
                <w:rtl w:val="0"/>
              </w:rPr>
              <w:t xml:space="preserve">Summarize, paraphrase, and quote from appropriate sources in support of specific claims</w:t>
            </w:r>
          </w:p>
        </w:tc>
      </w:tr>
      <w:tr>
        <w:trPr>
          <w:cantSplit w:val="0"/>
          <w:tblHeader w:val="0"/>
        </w:trPr>
        <w:tc>
          <w:tcPr/>
          <w:p w:rsidR="00000000" w:rsidDel="00000000" w:rsidP="00000000" w:rsidRDefault="00000000" w:rsidRPr="00000000" w14:paraId="0000003C">
            <w:pPr>
              <w:numPr>
                <w:ilvl w:val="0"/>
                <w:numId w:val="1"/>
              </w:numPr>
              <w:ind w:left="330"/>
            </w:pPr>
            <w:r w:rsidDel="00000000" w:rsidR="00000000" w:rsidRPr="00000000">
              <w:rPr>
                <w:rtl w:val="0"/>
              </w:rPr>
              <w:t xml:space="preserve">Critically evaluate their own and others’ rhetorical choices</w:t>
            </w:r>
          </w:p>
        </w:tc>
      </w:tr>
      <w:tr>
        <w:trPr>
          <w:cantSplit w:val="0"/>
          <w:tblHeader w:val="0"/>
        </w:trPr>
        <w:tc>
          <w:tcPr/>
          <w:p w:rsidR="00000000" w:rsidDel="00000000" w:rsidP="00000000" w:rsidRDefault="00000000" w:rsidRPr="00000000" w14:paraId="0000003D">
            <w:pPr>
              <w:numPr>
                <w:ilvl w:val="0"/>
                <w:numId w:val="8"/>
              </w:numPr>
              <w:ind w:left="360"/>
              <w:rPr>
                <w:rFonts w:ascii="Calibri" w:cs="Calibri" w:eastAsia="Calibri" w:hAnsi="Calibri"/>
              </w:rPr>
            </w:pPr>
            <w:r w:rsidDel="00000000" w:rsidR="00000000" w:rsidRPr="00000000">
              <w:rPr>
                <w:rtl w:val="0"/>
              </w:rPr>
              <w:t xml:space="preserve">Develop their written and visual claims through several stages of invention and revision</w:t>
            </w:r>
          </w:p>
        </w:tc>
      </w:tr>
      <w:tr>
        <w:trPr>
          <w:cantSplit w:val="0"/>
          <w:trHeight w:val="297.10937499999994" w:hRule="atLeast"/>
          <w:tblHeader w:val="0"/>
        </w:trPr>
        <w:tc>
          <w:tcPr/>
          <w:p w:rsidR="00000000" w:rsidDel="00000000" w:rsidP="00000000" w:rsidRDefault="00000000" w:rsidRPr="00000000" w14:paraId="0000003E">
            <w:pPr>
              <w:numPr>
                <w:ilvl w:val="0"/>
                <w:numId w:val="4"/>
              </w:numPr>
              <w:ind w:left="360" w:hanging="360"/>
              <w:rPr>
                <w:u w:val="none"/>
              </w:rPr>
            </w:pPr>
            <w:r w:rsidDel="00000000" w:rsidR="00000000" w:rsidRPr="00000000">
              <w:rPr>
                <w:rtl w:val="0"/>
              </w:rPr>
              <w:t xml:space="preserve">Reflect on the ways in which rhetorically proficient written and visual communication contributes to ethical public discourse </w:t>
            </w:r>
          </w:p>
        </w:tc>
      </w:tr>
    </w:tbl>
    <w:p w:rsidR="00000000" w:rsidDel="00000000" w:rsidP="00000000" w:rsidRDefault="00000000" w:rsidRPr="00000000" w14:paraId="0000003F">
      <w:pPr>
        <w:spacing w:line="360" w:lineRule="auto"/>
        <w:jc w:val="left"/>
        <w:rPr>
          <w:b w:val="1"/>
          <w:color w:val="2e75b5"/>
        </w:rPr>
      </w:pPr>
      <w:r w:rsidDel="00000000" w:rsidR="00000000" w:rsidRPr="00000000">
        <w:rPr>
          <w:rtl w:val="0"/>
        </w:rPr>
      </w:r>
    </w:p>
    <w:tbl>
      <w:tblPr>
        <w:tblStyle w:val="Table5"/>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0">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2">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3">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Below, you will find listed the 6 course-level student learning outcomes associated with this Core component area.  </w:t>
            </w:r>
          </w:p>
          <w:p w:rsidR="00000000" w:rsidDel="00000000" w:rsidP="00000000" w:rsidRDefault="00000000" w:rsidRPr="00000000" w14:paraId="00000044">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5">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w:t>
            </w:r>
          </w:p>
        </w:tc>
      </w:tr>
      <w:tr>
        <w:trPr>
          <w:cantSplit w:val="0"/>
          <w:trHeight w:val="1322" w:hRule="atLeast"/>
          <w:tblHeader w:val="0"/>
        </w:trPr>
        <w:tc>
          <w:tcPr>
            <w:shd w:fill="d9e2f3" w:val="clear"/>
          </w:tcPr>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write and design purposeful messages and arguments attuned to the particularities of context and audience</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4B">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 apply best practices in oral communication pedagogy to ensure student learning? </w:t>
            </w:r>
          </w:p>
          <w:p w:rsidR="00000000" w:rsidDel="00000000" w:rsidP="00000000" w:rsidRDefault="00000000" w:rsidRPr="00000000" w14:paraId="0000004C">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4D">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to confirm that you have/will confer with the appropriate Core Associate Director to determine need for training in best practices in writing pedagogy prior to teaching this class</w:t>
            </w:r>
          </w:p>
          <w:p w:rsidR="00000000" w:rsidDel="00000000" w:rsidP="00000000" w:rsidRDefault="00000000" w:rsidRPr="00000000" w14:paraId="0000004E">
            <w:pPr>
              <w:tabs>
                <w:tab w:val="left" w:leader="none" w:pos="6660"/>
              </w:tabs>
              <w:spacing w:after="40" w:before="40" w:lineRule="auto"/>
              <w:ind w:left="360" w:firstLine="0"/>
              <w:rPr>
                <w:color w:val="2e75b5"/>
                <w:sz w:val="20"/>
                <w:szCs w:val="20"/>
              </w:rPr>
            </w:pPr>
            <w:r w:rsidDel="00000000" w:rsidR="00000000" w:rsidRPr="00000000">
              <w:rPr>
                <w:rtl w:val="0"/>
              </w:rPr>
            </w:r>
          </w:p>
          <w:p w:rsidR="00000000" w:rsidDel="00000000" w:rsidP="00000000" w:rsidRDefault="00000000" w:rsidRPr="00000000" w14:paraId="0000004F">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to confirm that this Written and Visual Communication course will be capped at 20 students (per standards for writing courses set by national professional organizations, e.g., Conference on College Composition and Communication and best practices benchmarks for post-graduate programs, e.g. University of Missouri Medical School)</w:t>
            </w:r>
          </w:p>
          <w:p w:rsidR="00000000" w:rsidDel="00000000" w:rsidP="00000000" w:rsidRDefault="00000000" w:rsidRPr="00000000" w14:paraId="00000050">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1">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If this course includes thematic content, how will you ensure that such content be secondary to and supportive of the primary course goals of developing students’ written and visual communication skills?</w:t>
            </w:r>
          </w:p>
          <w:p w:rsidR="00000000" w:rsidDel="00000000" w:rsidP="00000000" w:rsidRDefault="00000000" w:rsidRPr="00000000" w14:paraId="00000052">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070" w:hRule="atLeast"/>
          <w:tblHeader w:val="0"/>
        </w:trPr>
        <w:tc>
          <w:tcPr>
            <w:shd w:fill="d9e2f3" w:val="clear"/>
          </w:tcPr>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analyze written and visual messages and arguments from appropriate sources from multiple and contradictory perspectives</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58">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you ensure that written and visual communication instruction is central to the course?</w:t>
            </w:r>
          </w:p>
        </w:tc>
      </w:tr>
      <w:tr>
        <w:trPr>
          <w:cantSplit w:val="0"/>
          <w:trHeight w:val="980" w:hRule="atLeast"/>
          <w:tblHeader w:val="0"/>
        </w:trPr>
        <w:tc>
          <w:tcPr>
            <w:shd w:fill="d9e2f3" w:val="clear"/>
          </w:tcPr>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ind w:left="360" w:hanging="27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Students will be able to summarize, paraphrase, and quote from appropriate sources in support of specific claims</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 </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5E">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980" w:hRule="atLeast"/>
          <w:tblHeader w:val="0"/>
        </w:trPr>
        <w:tc>
          <w:tcPr>
            <w:shd w:fill="d9e2f3" w:val="clear"/>
          </w:tcPr>
          <w:p w:rsidR="00000000" w:rsidDel="00000000" w:rsidP="00000000" w:rsidRDefault="00000000" w:rsidRPr="00000000" w14:paraId="00000060">
            <w:pPr>
              <w:numPr>
                <w:ilvl w:val="0"/>
                <w:numId w:val="9"/>
              </w:numPr>
              <w:pBdr>
                <w:top w:space="0" w:sz="0" w:val="nil"/>
                <w:left w:space="0" w:sz="0" w:val="nil"/>
                <w:bottom w:space="0" w:sz="0" w:val="nil"/>
                <w:right w:space="0" w:sz="0" w:val="nil"/>
                <w:between w:space="0" w:sz="0" w:val="nil"/>
              </w:pBdr>
              <w:ind w:left="360" w:hanging="27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Students will be able to critically evaluate their own and others’ rhetorical choices</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64">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b w:val="0"/>
                <w:i w:val="0"/>
                <w:smallCaps w:val="0"/>
                <w:strike w:val="0"/>
                <w:color w:val="2e75b5"/>
                <w:sz w:val="20"/>
                <w:szCs w:val="20"/>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develop their written and visual claims through several stages of invention and revision</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0" w:firstLine="0"/>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 </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6B">
            <w:pPr>
              <w:tabs>
                <w:tab w:val="left" w:leader="none" w:pos="6660"/>
              </w:tabs>
              <w:ind w:left="0" w:firstLine="0"/>
              <w:rPr>
                <w:color w:val="2e75b5"/>
                <w:sz w:val="20"/>
                <w:szCs w:val="20"/>
              </w:rPr>
            </w:pPr>
            <w:r w:rsidDel="00000000" w:rsidR="00000000" w:rsidRPr="00000000">
              <w:rPr>
                <w:color w:val="2e75b5"/>
                <w:sz w:val="20"/>
                <w:szCs w:val="20"/>
                <w:rtl w:val="0"/>
              </w:rPr>
              <w:t xml:space="preserve">How will you ensure that both formal and informal writing and visual communication assignments will be spread throughout the term and that students will have the opportunity to develop written and visual communication through several stages of invention and revision?</w:t>
            </w:r>
          </w:p>
          <w:p w:rsidR="00000000" w:rsidDel="00000000" w:rsidP="00000000" w:rsidRDefault="00000000" w:rsidRPr="00000000" w14:paraId="0000006C">
            <w:pPr>
              <w:tabs>
                <w:tab w:val="left" w:leader="none" w:pos="6660"/>
              </w:tabs>
              <w:ind w:left="0" w:firstLine="0"/>
              <w:rPr>
                <w:color w:val="2e75b5"/>
                <w:sz w:val="20"/>
                <w:szCs w:val="20"/>
              </w:rPr>
            </w:pPr>
            <w:r w:rsidDel="00000000" w:rsidR="00000000" w:rsidRPr="00000000">
              <w:rPr>
                <w:rtl w:val="0"/>
              </w:rPr>
            </w:r>
          </w:p>
          <w:p w:rsidR="00000000" w:rsidDel="00000000" w:rsidP="00000000" w:rsidRDefault="00000000" w:rsidRPr="00000000" w14:paraId="0000006D">
            <w:pPr>
              <w:tabs>
                <w:tab w:val="left" w:leader="none" w:pos="6660"/>
              </w:tabs>
              <w:ind w:left="0" w:firstLine="0"/>
              <w:rPr>
                <w:color w:val="2e75b5"/>
                <w:sz w:val="20"/>
                <w:szCs w:val="20"/>
              </w:rPr>
            </w:pPr>
            <w:r w:rsidDel="00000000" w:rsidR="00000000" w:rsidRPr="00000000">
              <w:rPr>
                <w:color w:val="2e75b5"/>
                <w:sz w:val="20"/>
                <w:szCs w:val="20"/>
                <w:rtl w:val="0"/>
              </w:rPr>
              <w:t xml:space="preserve">How will you ensure that student writing and projects will be workshopped by the instructor and peers in class and in conferences?</w:t>
            </w:r>
          </w:p>
          <w:p w:rsidR="00000000" w:rsidDel="00000000" w:rsidP="00000000" w:rsidRDefault="00000000" w:rsidRPr="00000000" w14:paraId="0000006E">
            <w:pPr>
              <w:tabs>
                <w:tab w:val="left" w:leader="none" w:pos="6660"/>
              </w:tabs>
              <w:ind w:left="0" w:firstLine="0"/>
              <w:rPr>
                <w:color w:val="2e75b5"/>
                <w:sz w:val="20"/>
                <w:szCs w:val="20"/>
              </w:rPr>
            </w:pPr>
            <w:r w:rsidDel="00000000" w:rsidR="00000000" w:rsidRPr="00000000">
              <w:rPr>
                <w:rtl w:val="0"/>
              </w:rPr>
            </w:r>
          </w:p>
          <w:p w:rsidR="00000000" w:rsidDel="00000000" w:rsidP="00000000" w:rsidRDefault="00000000" w:rsidRPr="00000000" w14:paraId="0000006F">
            <w:pPr>
              <w:tabs>
                <w:tab w:val="left" w:leader="none" w:pos="6660"/>
              </w:tabs>
              <w:ind w:left="0" w:firstLine="0"/>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ind w:left="360" w:hanging="27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Student will be able to reflect on the ways in which rhetorically proficient written and visual communication contributes to ethical public discourse</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75">
            <w:pPr>
              <w:tabs>
                <w:tab w:val="left" w:leader="none" w:pos="6660"/>
              </w:tabs>
              <w:ind w:left="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to confirm that you will assign a minimum of 5000 words (approximately 20 pages) of formal and informal expository prose that students produce by the end of the term. Total word count may include outlines or drafts as well as final written projects.</w:t>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tbl>
      <w:tblPr>
        <w:tblStyle w:val="Table6"/>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7E">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80">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81">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4 University Core-level student learning outcomes associated with this Core component area.  </w:t>
            </w:r>
          </w:p>
          <w:p w:rsidR="00000000" w:rsidDel="00000000" w:rsidP="00000000" w:rsidRDefault="00000000" w:rsidRPr="00000000" w14:paraId="00000082">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83">
            <w:pPr>
              <w:rPr>
                <w:color w:val="2e75b5"/>
                <w:sz w:val="20"/>
                <w:szCs w:val="20"/>
                <w:highlight w:val="white"/>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4 outcomes at the levels indicated in parentheses.</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85">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2</w:t>
            </w:r>
            <w:r w:rsidDel="00000000" w:rsidR="00000000" w:rsidRPr="00000000">
              <w:rPr>
                <w:b w:val="1"/>
                <w:color w:val="2e75b5"/>
                <w:sz w:val="20"/>
                <w:szCs w:val="20"/>
                <w:rtl w:val="0"/>
              </w:rPr>
              <w:t xml:space="preserve">: Students will be able to integrate knowledge from multiple disciplines to address complex questions (Introduce)</w:t>
            </w:r>
          </w:p>
          <w:p w:rsidR="00000000" w:rsidDel="00000000" w:rsidP="00000000" w:rsidRDefault="00000000" w:rsidRPr="00000000" w14:paraId="00000086">
            <w:pPr>
              <w:tabs>
                <w:tab w:val="left" w:leader="none" w:pos="6660"/>
              </w:tabs>
              <w:spacing w:after="40" w:before="40" w:lineRule="auto"/>
              <w:ind w:left="90" w:firstLine="0"/>
              <w:rPr>
                <w:color w:val="2e75b5"/>
                <w:sz w:val="20"/>
                <w:szCs w:val="20"/>
              </w:rPr>
            </w:pPr>
            <w:r w:rsidDel="00000000" w:rsidR="00000000" w:rsidRPr="00000000">
              <w:rPr>
                <w:rtl w:val="0"/>
              </w:rPr>
            </w:r>
          </w:p>
          <w:p w:rsidR="00000000" w:rsidDel="00000000" w:rsidP="00000000" w:rsidRDefault="00000000" w:rsidRPr="00000000" w14:paraId="00000087">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w:t>
            </w:r>
          </w:p>
          <w:p w:rsidR="00000000" w:rsidDel="00000000" w:rsidP="00000000" w:rsidRDefault="00000000" w:rsidRPr="00000000" w14:paraId="00000088">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 </w:t>
            </w:r>
          </w:p>
          <w:p w:rsidR="00000000" w:rsidDel="00000000" w:rsidP="00000000" w:rsidRDefault="00000000" w:rsidRPr="00000000" w14:paraId="00000089">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8A">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8C">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3</w:t>
            </w:r>
            <w:r w:rsidDel="00000000" w:rsidR="00000000" w:rsidRPr="00000000">
              <w:rPr>
                <w:b w:val="1"/>
                <w:color w:val="2e75b5"/>
                <w:sz w:val="20"/>
                <w:szCs w:val="20"/>
                <w:rtl w:val="0"/>
              </w:rPr>
              <w:t xml:space="preserve">: Students will be able to assess evidence and draw reasoned conclusions (Introduce)</w:t>
            </w:r>
          </w:p>
          <w:p w:rsidR="00000000" w:rsidDel="00000000" w:rsidP="00000000" w:rsidRDefault="00000000" w:rsidRPr="00000000" w14:paraId="0000008D">
            <w:pPr>
              <w:tabs>
                <w:tab w:val="left" w:leader="none" w:pos="6660"/>
              </w:tabs>
              <w:spacing w:after="40" w:before="40" w:lineRule="auto"/>
              <w:ind w:left="90" w:firstLine="0"/>
              <w:rPr>
                <w:color w:val="2e75b5"/>
                <w:sz w:val="20"/>
                <w:szCs w:val="20"/>
              </w:rPr>
            </w:pPr>
            <w:r w:rsidDel="00000000" w:rsidR="00000000" w:rsidRPr="00000000">
              <w:rPr>
                <w:rtl w:val="0"/>
              </w:rPr>
            </w:r>
          </w:p>
          <w:p w:rsidR="00000000" w:rsidDel="00000000" w:rsidP="00000000" w:rsidRDefault="00000000" w:rsidRPr="00000000" w14:paraId="0000008E">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w:t>
            </w:r>
          </w:p>
          <w:p w:rsidR="00000000" w:rsidDel="00000000" w:rsidP="00000000" w:rsidRDefault="00000000" w:rsidRPr="00000000" w14:paraId="0000008F">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90">
            <w:pPr>
              <w:tabs>
                <w:tab w:val="left" w:leader="none" w:pos="6660"/>
              </w:tabs>
              <w:spacing w:after="40" w:before="40" w:lineRule="auto"/>
              <w:ind w:left="90" w:firstLine="0"/>
              <w:rPr>
                <w:color w:val="2e75b5"/>
                <w:sz w:val="24"/>
                <w:szCs w:val="24"/>
              </w:rPr>
            </w:pPr>
            <w:r w:rsidDel="00000000" w:rsidR="00000000" w:rsidRPr="00000000">
              <w:rPr>
                <w:rtl w:val="0"/>
              </w:rPr>
            </w:r>
          </w:p>
        </w:tc>
        <w:tc>
          <w:tcPr>
            <w:gridSpan w:val="2"/>
          </w:tcPr>
          <w:p w:rsidR="00000000" w:rsidDel="00000000" w:rsidP="00000000" w:rsidRDefault="00000000" w:rsidRPr="00000000" w14:paraId="00000091">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93">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4</w:t>
            </w:r>
            <w:r w:rsidDel="00000000" w:rsidR="00000000" w:rsidRPr="00000000">
              <w:rPr>
                <w:b w:val="1"/>
                <w:color w:val="2e75b5"/>
                <w:sz w:val="20"/>
                <w:szCs w:val="20"/>
                <w:rtl w:val="0"/>
              </w:rPr>
              <w:t xml:space="preserve">: Students will be able to communicate effectively in writing, speech, and visual media (Introduce, Develop)</w:t>
            </w:r>
          </w:p>
          <w:p w:rsidR="00000000" w:rsidDel="00000000" w:rsidP="00000000" w:rsidRDefault="00000000" w:rsidRPr="00000000" w14:paraId="00000094">
            <w:pPr>
              <w:tabs>
                <w:tab w:val="left" w:leader="none" w:pos="6660"/>
              </w:tabs>
              <w:spacing w:after="40" w:before="40" w:lineRule="auto"/>
              <w:ind w:left="90" w:firstLine="0"/>
              <w:rPr>
                <w:color w:val="2e75b5"/>
                <w:sz w:val="20"/>
                <w:szCs w:val="20"/>
              </w:rPr>
            </w:pPr>
            <w:r w:rsidDel="00000000" w:rsidR="00000000" w:rsidRPr="00000000">
              <w:rPr>
                <w:rtl w:val="0"/>
              </w:rPr>
            </w:r>
          </w:p>
          <w:p w:rsidR="00000000" w:rsidDel="00000000" w:rsidP="00000000" w:rsidRDefault="00000000" w:rsidRPr="00000000" w14:paraId="00000095">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w:t>
            </w:r>
          </w:p>
          <w:p w:rsidR="00000000" w:rsidDel="00000000" w:rsidP="00000000" w:rsidRDefault="00000000" w:rsidRPr="00000000" w14:paraId="00000096">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97">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98">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9A">
            <w:pPr>
              <w:tabs>
                <w:tab w:val="left" w:leader="none" w:pos="6660"/>
              </w:tabs>
              <w:spacing w:after="40" w:before="40" w:lineRule="auto"/>
              <w:ind w:left="90" w:firstLine="0"/>
              <w:rPr>
                <w:color w:val="2e75b5"/>
                <w:sz w:val="20"/>
                <w:szCs w:val="20"/>
              </w:rPr>
            </w:pPr>
            <w:r w:rsidDel="00000000" w:rsidR="00000000" w:rsidRPr="00000000">
              <w:rPr>
                <w:b w:val="1"/>
                <w:color w:val="2e75b5"/>
                <w:sz w:val="20"/>
                <w:szCs w:val="20"/>
                <w:u w:val="single"/>
                <w:rtl w:val="0"/>
              </w:rPr>
              <w:t xml:space="preserve">SLO 8</w:t>
            </w:r>
            <w:r w:rsidDel="00000000" w:rsidR="00000000" w:rsidRPr="00000000">
              <w:rPr>
                <w:b w:val="1"/>
                <w:color w:val="2e75b5"/>
                <w:sz w:val="20"/>
                <w:szCs w:val="20"/>
                <w:rtl w:val="0"/>
              </w:rPr>
              <w:t xml:space="preserve">: Students will be able to collaborate with others toward a common goal (Introduce)</w:t>
            </w:r>
            <w:r w:rsidDel="00000000" w:rsidR="00000000" w:rsidRPr="00000000">
              <w:rPr>
                <w:rtl w:val="0"/>
              </w:rPr>
            </w:r>
          </w:p>
          <w:p w:rsidR="00000000" w:rsidDel="00000000" w:rsidP="00000000" w:rsidRDefault="00000000" w:rsidRPr="00000000" w14:paraId="0000009B">
            <w:pPr>
              <w:tabs>
                <w:tab w:val="left" w:leader="none" w:pos="6660"/>
              </w:tabs>
              <w:spacing w:after="40" w:before="40" w:lineRule="auto"/>
              <w:ind w:left="90" w:firstLine="0"/>
              <w:rPr>
                <w:color w:val="2e75b5"/>
                <w:sz w:val="20"/>
                <w:szCs w:val="20"/>
              </w:rPr>
            </w:pPr>
            <w:r w:rsidDel="00000000" w:rsidR="00000000" w:rsidRPr="00000000">
              <w:rPr>
                <w:rtl w:val="0"/>
              </w:rPr>
            </w:r>
          </w:p>
          <w:p w:rsidR="00000000" w:rsidDel="00000000" w:rsidP="00000000" w:rsidRDefault="00000000" w:rsidRPr="00000000" w14:paraId="0000009C">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w:t>
            </w:r>
          </w:p>
          <w:p w:rsidR="00000000" w:rsidDel="00000000" w:rsidP="00000000" w:rsidRDefault="00000000" w:rsidRPr="00000000" w14:paraId="0000009D">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 </w:t>
            </w:r>
          </w:p>
          <w:p w:rsidR="00000000" w:rsidDel="00000000" w:rsidP="00000000" w:rsidRDefault="00000000" w:rsidRPr="00000000" w14:paraId="0000009E">
            <w:pPr>
              <w:tabs>
                <w:tab w:val="left" w:leader="none" w:pos="6660"/>
              </w:tabs>
              <w:spacing w:after="40" w:before="40" w:lineRule="auto"/>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9F">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84004"/>
    <w:rPr>
      <w:color w:val="0563c1" w:themeColor="hyperlink"/>
      <w:u w:val="single"/>
    </w:rPr>
  </w:style>
  <w:style w:type="character" w:styleId="FollowedHyperlink">
    <w:name w:val="FollowedHyperlink"/>
    <w:basedOn w:val="DefaultParagraphFont"/>
    <w:uiPriority w:val="99"/>
    <w:semiHidden w:val="1"/>
    <w:unhideWhenUsed w:val="1"/>
    <w:rsid w:val="00E84004"/>
    <w:rPr>
      <w:color w:val="954f72" w:themeColor="followedHyperlink"/>
      <w:u w:val="single"/>
    </w:rPr>
  </w:style>
  <w:style w:type="character" w:styleId="UnresolvedMention">
    <w:name w:val="Unresolved Mention"/>
    <w:basedOn w:val="DefaultParagraphFont"/>
    <w:uiPriority w:val="99"/>
    <w:semiHidden w:val="1"/>
    <w:unhideWhenUsed w:val="1"/>
    <w:rsid w:val="00DC5D91"/>
    <w:rPr>
      <w:color w:val="605e5c"/>
      <w:shd w:color="auto" w:fill="e1dfdd" w:val="clear"/>
    </w:rPr>
  </w:style>
  <w:style w:type="table" w:styleId="TableGrid1" w:customStyle="1">
    <w:name w:val="Table Grid1"/>
    <w:basedOn w:val="TableNormal"/>
    <w:next w:val="TableGrid"/>
    <w:uiPriority w:val="39"/>
    <w:rsid w:val="009D76CC"/>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xf54gs9YA0eO6lIkBZtWn2vP8cnvYOfm/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5y5G2U7YLrZFlaBWzY+SGX95Sg==">CgMxLjA4AHIhMXRnZ0hiSWd3QzhKSDlyTUFYaDhEX1AzbjM0Y3Z0LU5E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2020-09-30T15:41:00Z</dcterms:created>
  <dc:creator>Jamie Zurliene</dc:creator>
</cp:coreProperties>
</file>