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785.0" w:type="dxa"/>
        <w:jc w:val="left"/>
        <w:tblInd w:w="-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5"/>
        <w:gridCol w:w="9930"/>
        <w:tblGridChange w:id="0">
          <w:tblGrid>
            <w:gridCol w:w="3855"/>
            <w:gridCol w:w="9930"/>
          </w:tblGrid>
        </w:tblGridChange>
      </w:tblGrid>
      <w:tr>
        <w:trPr>
          <w:cantSplit w:val="0"/>
          <w:tblHeader w:val="0"/>
        </w:trPr>
        <w:tc>
          <w:tcPr>
            <w:gridSpan w:val="2"/>
            <w:shd w:fill="d9e2f3" w:val="clear"/>
          </w:tcPr>
          <w:p w:rsidR="00000000" w:rsidDel="00000000" w:rsidP="00000000" w:rsidRDefault="00000000" w:rsidRPr="00000000" w14:paraId="00000002">
            <w:pPr>
              <w:rPr>
                <w:b w:val="1"/>
                <w:color w:val="2e75b5"/>
                <w:sz w:val="28"/>
                <w:szCs w:val="28"/>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04">
            <w:pPr>
              <w:rPr>
                <w:b w:val="1"/>
                <w:color w:val="2e75b5"/>
                <w:sz w:val="28"/>
                <w:szCs w:val="28"/>
              </w:rPr>
            </w:pPr>
            <w:r w:rsidDel="00000000" w:rsidR="00000000" w:rsidRPr="00000000">
              <w:rPr>
                <w:b w:val="1"/>
                <w:color w:val="2e75b5"/>
                <w:sz w:val="28"/>
                <w:szCs w:val="28"/>
                <w:rtl w:val="0"/>
              </w:rPr>
              <w:t xml:space="preserve">Course Submitted</w:t>
            </w:r>
          </w:p>
          <w:p w:rsidR="00000000" w:rsidDel="00000000" w:rsidP="00000000" w:rsidRDefault="00000000" w:rsidRPr="00000000" w14:paraId="00000005">
            <w:pPr>
              <w:rPr>
                <w:b w:val="1"/>
                <w:color w:val="2e75b5"/>
                <w:sz w:val="28"/>
                <w:szCs w:val="28"/>
              </w:rPr>
            </w:pPr>
            <w:r w:rsidDel="00000000" w:rsidR="00000000" w:rsidRPr="00000000">
              <w:rPr>
                <w:b w:val="1"/>
                <w:color w:val="2e75b5"/>
                <w:sz w:val="28"/>
                <w:szCs w:val="28"/>
                <w:rtl w:val="0"/>
              </w:rPr>
              <w:t xml:space="preserve">(Subject/Number/Title)</w:t>
            </w:r>
          </w:p>
        </w:tc>
        <w:tc>
          <w:tcPr/>
          <w:p w:rsidR="00000000" w:rsidDel="00000000" w:rsidP="00000000" w:rsidRDefault="00000000" w:rsidRPr="00000000" w14:paraId="00000006">
            <w:pPr>
              <w:rPr>
                <w:sz w:val="28"/>
                <w:szCs w:val="28"/>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07">
            <w:pPr>
              <w:rPr>
                <w:b w:val="1"/>
                <w:color w:val="2e75b5"/>
                <w:sz w:val="28"/>
                <w:szCs w:val="28"/>
              </w:rPr>
            </w:pPr>
            <w:r w:rsidDel="00000000" w:rsidR="00000000" w:rsidRPr="00000000">
              <w:rPr>
                <w:b w:val="1"/>
                <w:color w:val="2e75b5"/>
                <w:sz w:val="28"/>
                <w:szCs w:val="28"/>
                <w:rtl w:val="0"/>
              </w:rPr>
              <w:t xml:space="preserve">Submitted by</w:t>
            </w:r>
          </w:p>
          <w:p w:rsidR="00000000" w:rsidDel="00000000" w:rsidP="00000000" w:rsidRDefault="00000000" w:rsidRPr="00000000" w14:paraId="00000008">
            <w:pPr>
              <w:rPr>
                <w:b w:val="1"/>
                <w:color w:val="2e75b5"/>
                <w:sz w:val="28"/>
                <w:szCs w:val="28"/>
              </w:rPr>
            </w:pPr>
            <w:r w:rsidDel="00000000" w:rsidR="00000000" w:rsidRPr="00000000">
              <w:rPr>
                <w:b w:val="1"/>
                <w:color w:val="2e75b5"/>
                <w:sz w:val="28"/>
                <w:szCs w:val="28"/>
                <w:rtl w:val="0"/>
              </w:rPr>
              <w:t xml:space="preserve">(Name/Department)</w:t>
            </w:r>
          </w:p>
        </w:tc>
        <w:tc>
          <w:tcPr/>
          <w:p w:rsidR="00000000" w:rsidDel="00000000" w:rsidP="00000000" w:rsidRDefault="00000000" w:rsidRPr="00000000" w14:paraId="00000009">
            <w:pPr>
              <w:rPr>
                <w:sz w:val="28"/>
                <w:szCs w:val="28"/>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0A">
            <w:pPr>
              <w:rPr>
                <w:b w:val="1"/>
                <w:color w:val="2e75b5"/>
                <w:sz w:val="28"/>
                <w:szCs w:val="28"/>
              </w:rPr>
            </w:pPr>
            <w:r w:rsidDel="00000000" w:rsidR="00000000" w:rsidRPr="00000000">
              <w:rPr>
                <w:b w:val="1"/>
                <w:color w:val="2e75b5"/>
                <w:sz w:val="28"/>
                <w:szCs w:val="28"/>
                <w:rtl w:val="0"/>
              </w:rPr>
              <w:t xml:space="preserve">Department/Unit Oversight Note</w:t>
            </w:r>
          </w:p>
        </w:tc>
        <w:tc>
          <w:tcPr/>
          <w:p w:rsidR="00000000" w:rsidDel="00000000" w:rsidP="00000000" w:rsidRDefault="00000000" w:rsidRPr="00000000" w14:paraId="0000000B">
            <w:pPr>
              <w:rPr>
                <w:color w:val="2e75b5"/>
                <w:sz w:val="20"/>
                <w:szCs w:val="20"/>
              </w:rPr>
            </w:pPr>
            <w:r w:rsidDel="00000000" w:rsidR="00000000" w:rsidRPr="00000000">
              <w:rPr>
                <w:color w:val="2e75b5"/>
                <w:sz w:val="20"/>
                <w:szCs w:val="20"/>
                <w:rtl w:val="0"/>
              </w:rPr>
              <w:t xml:space="preserve">It is the responsibility of the department or unit (1) to keep a copy of this finalized worksheet together with the approved sample syllabus and/or syllabus template and (2) to pass along all relevant documents to additional instructors who will teach the course in the future.</w:t>
            </w:r>
          </w:p>
          <w:p w:rsidR="00000000" w:rsidDel="00000000" w:rsidP="00000000" w:rsidRDefault="00000000" w:rsidRPr="00000000" w14:paraId="0000000C">
            <w:pPr>
              <w:tabs>
                <w:tab w:val="left" w:leader="none" w:pos="6660"/>
              </w:tabs>
              <w:spacing w:after="40" w:before="40" w:lineRule="auto"/>
              <w:ind w:left="360" w:firstLine="0"/>
              <w:rPr>
                <w:color w:val="2e75b5"/>
                <w:sz w:val="28"/>
                <w:szCs w:val="28"/>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you, as an instructor within a department or unit, understand and have confirmed that your supervisor is aware of this Core request stated above.</w:t>
            </w:r>
            <w:r w:rsidDel="00000000" w:rsidR="00000000" w:rsidRPr="00000000">
              <w:rPr>
                <w:rtl w:val="0"/>
              </w:rPr>
            </w:r>
          </w:p>
        </w:tc>
      </w:tr>
    </w:tbl>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tbl>
      <w:tblPr>
        <w:tblStyle w:val="Table2"/>
        <w:tblW w:w="1382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9"/>
        <w:gridCol w:w="312"/>
        <w:gridCol w:w="7054"/>
        <w:gridCol w:w="2599"/>
        <w:tblGridChange w:id="0">
          <w:tblGrid>
            <w:gridCol w:w="3859"/>
            <w:gridCol w:w="312"/>
            <w:gridCol w:w="7054"/>
            <w:gridCol w:w="2599"/>
          </w:tblGrid>
        </w:tblGridChange>
      </w:tblGrid>
      <w:tr>
        <w:trPr>
          <w:cantSplit w:val="0"/>
          <w:tblHeader w:val="0"/>
        </w:trPr>
        <w:tc>
          <w:tcPr>
            <w:gridSpan w:val="3"/>
            <w:tcBorders>
              <w:bottom w:color="000000" w:space="0" w:sz="4" w:val="single"/>
              <w:right w:color="000000" w:space="0" w:sz="0" w:val="nil"/>
            </w:tcBorders>
            <w:shd w:fill="d9e2f3" w:val="clear"/>
          </w:tcPr>
          <w:p w:rsidR="00000000" w:rsidDel="00000000" w:rsidP="00000000" w:rsidRDefault="00000000" w:rsidRPr="00000000" w14:paraId="0000000F">
            <w:pPr>
              <w:tabs>
                <w:tab w:val="left" w:leader="none" w:pos="6660"/>
              </w:tabs>
              <w:spacing w:after="40" w:before="40" w:lineRule="auto"/>
              <w:rPr>
                <w:b w:val="1"/>
                <w:color w:val="ffffff"/>
                <w:sz w:val="20"/>
                <w:szCs w:val="20"/>
              </w:rPr>
            </w:pPr>
            <w:r w:rsidDel="00000000" w:rsidR="00000000" w:rsidRPr="00000000">
              <w:rPr>
                <w:b w:val="1"/>
                <w:color w:val="2e75b5"/>
                <w:sz w:val="28"/>
                <w:szCs w:val="28"/>
                <w:rtl w:val="0"/>
              </w:rPr>
              <w:t xml:space="preserve">Ways of Thinking:  Aesthetics, History and Culture</w:t>
            </w:r>
            <w:r w:rsidDel="00000000" w:rsidR="00000000" w:rsidRPr="00000000">
              <w:rPr>
                <w:rtl w:val="0"/>
              </w:rPr>
            </w:r>
          </w:p>
        </w:tc>
        <w:tc>
          <w:tcPr>
            <w:tcBorders>
              <w:left w:color="000000" w:space="0" w:sz="0" w:val="nil"/>
              <w:bottom w:color="000000" w:space="0" w:sz="4" w:val="single"/>
            </w:tcBorders>
            <w:shd w:fill="d9e2f3" w:val="clear"/>
          </w:tcPr>
          <w:p w:rsidR="00000000" w:rsidDel="00000000" w:rsidP="00000000" w:rsidRDefault="00000000" w:rsidRPr="00000000" w14:paraId="00000012">
            <w:pPr>
              <w:tabs>
                <w:tab w:val="left" w:leader="none" w:pos="6660"/>
              </w:tabs>
              <w:spacing w:after="40" w:before="40" w:lineRule="auto"/>
              <w:rPr>
                <w:b w:val="1"/>
                <w:color w:val="ffffff"/>
                <w:sz w:val="20"/>
                <w:szCs w:val="20"/>
              </w:rPr>
            </w:pPr>
            <w:r w:rsidDel="00000000" w:rsidR="00000000" w:rsidRPr="00000000">
              <w:rPr>
                <w:b w:val="1"/>
                <w:color w:val="2e75b5"/>
                <w:sz w:val="28"/>
                <w:szCs w:val="28"/>
                <w:rtl w:val="0"/>
              </w:rPr>
              <w:t xml:space="preserve">Core Requirement</w:t>
            </w:r>
            <w:r w:rsidDel="00000000" w:rsidR="00000000" w:rsidRPr="00000000">
              <w:rPr>
                <w:rtl w:val="0"/>
              </w:rPr>
            </w:r>
          </w:p>
        </w:tc>
      </w:tr>
      <w:tr>
        <w:trPr>
          <w:cantSplit w:val="0"/>
          <w:tblHeader w:val="0"/>
        </w:trPr>
        <w:tc>
          <w:tcPr>
            <w:gridSpan w:val="2"/>
            <w:tcBorders>
              <w:top w:color="000000" w:space="0" w:sz="4" w:val="single"/>
              <w:right w:color="000000" w:space="0" w:sz="0" w:val="nil"/>
            </w:tcBorders>
            <w:shd w:fill="2e75b5" w:val="clear"/>
          </w:tcPr>
          <w:p w:rsidR="00000000" w:rsidDel="00000000" w:rsidP="00000000" w:rsidRDefault="00000000" w:rsidRPr="00000000" w14:paraId="00000013">
            <w:pPr>
              <w:tabs>
                <w:tab w:val="left" w:leader="none" w:pos="6660"/>
              </w:tabs>
              <w:spacing w:after="40" w:before="40" w:lineRule="auto"/>
              <w:rPr>
                <w:b w:val="1"/>
                <w:color w:val="ffffff"/>
                <w:sz w:val="20"/>
                <w:szCs w:val="20"/>
              </w:rPr>
            </w:pPr>
            <w:r w:rsidDel="00000000" w:rsidR="00000000" w:rsidRPr="00000000">
              <w:rPr>
                <w:rtl w:val="0"/>
              </w:rPr>
            </w:r>
          </w:p>
        </w:tc>
        <w:tc>
          <w:tcPr>
            <w:gridSpan w:val="2"/>
            <w:tcBorders>
              <w:top w:color="000000" w:space="0" w:sz="4" w:val="single"/>
              <w:left w:color="000000" w:space="0" w:sz="0" w:val="nil"/>
            </w:tcBorders>
            <w:shd w:fill="2e75b5" w:val="clear"/>
          </w:tcPr>
          <w:p w:rsidR="00000000" w:rsidDel="00000000" w:rsidP="00000000" w:rsidRDefault="00000000" w:rsidRPr="00000000" w14:paraId="00000015">
            <w:pPr>
              <w:tabs>
                <w:tab w:val="left" w:leader="none" w:pos="6660"/>
              </w:tabs>
              <w:spacing w:after="40" w:before="40" w:lineRule="auto"/>
              <w:rPr>
                <w:b w:val="1"/>
                <w:color w:val="ffffff"/>
                <w:sz w:val="20"/>
                <w:szCs w:val="20"/>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17">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Core component title</w:t>
            </w:r>
          </w:p>
        </w:tc>
        <w:tc>
          <w:tcPr>
            <w:gridSpan w:val="3"/>
            <w:shd w:fill="d9e2f3" w:val="clear"/>
          </w:tcPr>
          <w:p w:rsidR="00000000" w:rsidDel="00000000" w:rsidP="00000000" w:rsidRDefault="00000000" w:rsidRPr="00000000" w14:paraId="00000018">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Varies</w:t>
            </w:r>
          </w:p>
        </w:tc>
      </w:tr>
      <w:tr>
        <w:trPr>
          <w:cantSplit w:val="0"/>
          <w:tblHeader w:val="0"/>
        </w:trPr>
        <w:tc>
          <w:tcPr>
            <w:shd w:fill="d9e2f3" w:val="clear"/>
          </w:tcPr>
          <w:p w:rsidR="00000000" w:rsidDel="00000000" w:rsidP="00000000" w:rsidRDefault="00000000" w:rsidRPr="00000000" w14:paraId="0000001B">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Minimum credit hours</w:t>
            </w:r>
          </w:p>
        </w:tc>
        <w:tc>
          <w:tcPr>
            <w:gridSpan w:val="3"/>
            <w:shd w:fill="d9e2f3" w:val="clear"/>
          </w:tcPr>
          <w:p w:rsidR="00000000" w:rsidDel="00000000" w:rsidP="00000000" w:rsidRDefault="00000000" w:rsidRPr="00000000" w14:paraId="0000001C">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3</w:t>
            </w:r>
          </w:p>
        </w:tc>
      </w:tr>
      <w:tr>
        <w:trPr>
          <w:cantSplit w:val="0"/>
          <w:tblHeader w:val="0"/>
        </w:trPr>
        <w:tc>
          <w:tcPr>
            <w:shd w:fill="d9e2f3" w:val="clear"/>
          </w:tcPr>
          <w:p w:rsidR="00000000" w:rsidDel="00000000" w:rsidP="00000000" w:rsidRDefault="00000000" w:rsidRPr="00000000" w14:paraId="0000001F">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Core-specific pre- and co-requisites / requirements</w:t>
            </w:r>
          </w:p>
        </w:tc>
        <w:tc>
          <w:tcPr>
            <w:gridSpan w:val="3"/>
            <w:shd w:fill="d9e2f3" w:val="clear"/>
          </w:tcPr>
          <w:p w:rsidR="00000000" w:rsidDel="00000000" w:rsidP="00000000" w:rsidRDefault="00000000" w:rsidRPr="00000000" w14:paraId="00000020">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N/A</w:t>
            </w:r>
          </w:p>
        </w:tc>
      </w:tr>
      <w:tr>
        <w:trPr>
          <w:cantSplit w:val="0"/>
          <w:tblHeader w:val="0"/>
        </w:trPr>
        <w:tc>
          <w:tcPr>
            <w:shd w:fill="d9e2f3" w:val="clear"/>
          </w:tcPr>
          <w:p w:rsidR="00000000" w:rsidDel="00000000" w:rsidP="00000000" w:rsidRDefault="00000000" w:rsidRPr="00000000" w14:paraId="00000023">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Core component summary</w:t>
            </w:r>
          </w:p>
        </w:tc>
        <w:tc>
          <w:tcPr>
            <w:gridSpan w:val="3"/>
            <w:shd w:fill="d9e2f3" w:val="clear"/>
          </w:tcPr>
          <w:p w:rsidR="00000000" w:rsidDel="00000000" w:rsidP="00000000" w:rsidRDefault="00000000" w:rsidRPr="00000000" w14:paraId="00000024">
            <w:pPr>
              <w:tabs>
                <w:tab w:val="left" w:leader="none" w:pos="6660"/>
              </w:tabs>
              <w:spacing w:after="40" w:before="40" w:lineRule="auto"/>
              <w:rPr>
                <w:color w:val="2e75b5"/>
                <w:sz w:val="20"/>
                <w:szCs w:val="20"/>
              </w:rPr>
            </w:pPr>
            <w:r w:rsidDel="00000000" w:rsidR="00000000" w:rsidRPr="00000000">
              <w:rPr>
                <w:rFonts w:ascii="Calibri" w:cs="Calibri" w:eastAsia="Calibri" w:hAnsi="Calibri"/>
                <w:color w:val="2e75b5"/>
                <w:sz w:val="20"/>
                <w:szCs w:val="20"/>
                <w:rtl w:val="0"/>
              </w:rPr>
              <w:t xml:space="preserve">Courses that satisfy the Aesthetics, History and Culture requirement advance students’ ability to understand the meaning and diversity of human experiences both within and beyond their own social and cultural contexts. These courses develop students’ abilities to draw reasoned conclusions about primary sources (including visual art, literature, cinema, historical documents, and other cultural products) using qualitative interpretive techniques and scholarly sources.</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27">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Notes</w:t>
            </w:r>
          </w:p>
        </w:tc>
        <w:tc>
          <w:tcPr>
            <w:gridSpan w:val="3"/>
            <w:shd w:fill="d9e2f3" w:val="clear"/>
          </w:tcPr>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tabs>
                <w:tab w:val="left" w:leader="none" w:pos="6660"/>
              </w:tabs>
              <w:ind w:left="360" w:hanging="360"/>
              <w:rPr>
                <w:rFonts w:ascii="Calibri" w:cs="Calibri" w:eastAsia="Calibri" w:hAnsi="Calibri"/>
                <w:color w:val="2e75b5"/>
                <w:sz w:val="20"/>
                <w:szCs w:val="20"/>
              </w:rPr>
            </w:pPr>
            <w:r w:rsidDel="00000000" w:rsidR="00000000" w:rsidRPr="00000000">
              <w:rPr>
                <w:rFonts w:ascii="Calibri" w:cs="Calibri" w:eastAsia="Calibri" w:hAnsi="Calibri"/>
                <w:color w:val="2e75b5"/>
                <w:sz w:val="20"/>
                <w:szCs w:val="20"/>
                <w:rtl w:val="0"/>
              </w:rPr>
              <w:t xml:space="preserve">Courses that fulfill this requirement develop students’ ability to engage in the methods of interpretation central but not limited to disciplines such as history, literary studies, film studies, art history, or world languages and cultures</w:t>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tabs>
                <w:tab w:val="left" w:leader="none" w:pos="6660"/>
              </w:tabs>
              <w:ind w:left="360" w:hanging="360"/>
              <w:rPr>
                <w:rFonts w:ascii="Calibri" w:cs="Calibri" w:eastAsia="Calibri" w:hAnsi="Calibri"/>
                <w:color w:val="2e75b5"/>
                <w:sz w:val="20"/>
                <w:szCs w:val="20"/>
              </w:rPr>
            </w:pPr>
            <w:r w:rsidDel="00000000" w:rsidR="00000000" w:rsidRPr="00000000">
              <w:rPr>
                <w:rFonts w:ascii="Calibri" w:cs="Calibri" w:eastAsia="Calibri" w:hAnsi="Calibri"/>
                <w:color w:val="2e75b5"/>
                <w:sz w:val="20"/>
                <w:szCs w:val="20"/>
                <w:rtl w:val="0"/>
              </w:rPr>
              <w:t xml:space="preserve">Courses that meet the learning outcomes and essential criteria for this component may be submitted from any department or program</w:t>
            </w:r>
          </w:p>
        </w:tc>
      </w:tr>
    </w:tbl>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spacing w:line="360" w:lineRule="auto"/>
        <w:rPr>
          <w:b w:val="1"/>
          <w:color w:val="2e75b5"/>
        </w:rPr>
      </w:pPr>
      <w:r w:rsidDel="00000000" w:rsidR="00000000" w:rsidRPr="00000000">
        <w:rPr>
          <w:b w:val="1"/>
          <w:color w:val="2e75b5"/>
          <w:rtl w:val="0"/>
        </w:rPr>
        <w:t xml:space="preserve">All courses approved to count for University Core requirements must include both course-level and Core-level student learning outcomes on their syllabi.  Please follow this link for mandatory syllabus material to be incorporated into your syllabus: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spacing w:line="360" w:lineRule="auto"/>
        <w:jc w:val="center"/>
        <w:rPr>
          <w:b w:val="1"/>
          <w:sz w:val="26"/>
          <w:szCs w:val="26"/>
          <w:u w:val="single"/>
        </w:rPr>
      </w:pPr>
      <w:hyperlink r:id="rId7">
        <w:r w:rsidDel="00000000" w:rsidR="00000000" w:rsidRPr="00000000">
          <w:rPr>
            <w:b w:val="1"/>
            <w:color w:val="1155cc"/>
            <w:sz w:val="26"/>
            <w:szCs w:val="26"/>
            <w:u w:val="single"/>
            <w:rtl w:val="0"/>
          </w:rPr>
          <w:t xml:space="preserve">Mandatory Syllabus Material for University Core Courses/Experiences</w:t>
        </w:r>
      </w:hyperlink>
      <w:r w:rsidDel="00000000" w:rsidR="00000000" w:rsidRPr="00000000">
        <w:rPr>
          <w:rtl w:val="0"/>
        </w:rPr>
      </w:r>
    </w:p>
    <w:p w:rsidR="00000000" w:rsidDel="00000000" w:rsidP="00000000" w:rsidRDefault="00000000" w:rsidRPr="00000000" w14:paraId="00000030">
      <w:pPr>
        <w:spacing w:line="360" w:lineRule="auto"/>
        <w:rPr/>
      </w:pPr>
      <w:r w:rsidDel="00000000" w:rsidR="00000000" w:rsidRPr="00000000">
        <w:rPr>
          <w:rtl w:val="0"/>
        </w:rPr>
        <w:t xml:space="preserve">The Saint Louis University Core is an academic program intentionally structured to facilitate student achievement of both holistic and component-level student learning outcomes (SLOs). </w:t>
      </w:r>
      <w:hyperlink r:id="rId8">
        <w:r w:rsidDel="00000000" w:rsidR="00000000" w:rsidRPr="00000000">
          <w:rPr>
            <w:color w:val="0563c1"/>
            <w:u w:val="single"/>
            <w:rtl w:val="0"/>
          </w:rPr>
          <w:t xml:space="preserve">SLU’s Course Syllabus Policy</w:t>
        </w:r>
      </w:hyperlink>
      <w:r w:rsidDel="00000000" w:rsidR="00000000" w:rsidRPr="00000000">
        <w:rPr>
          <w:rtl w:val="0"/>
        </w:rPr>
        <w:t xml:space="preserve"> requires that learning outcomes appear on all syllabi. Below, you will find a table with the University Core and Core Component SLOs indicated. Please copy the boilerplate below and insert it into the syllabus you upload to CourseLeaf for review by the University Undergraduate Core Committee (UUCC). </w:t>
      </w:r>
    </w:p>
    <w:p w:rsidR="00000000" w:rsidDel="00000000" w:rsidP="00000000" w:rsidRDefault="00000000" w:rsidRPr="00000000" w14:paraId="00000031">
      <w:pPr>
        <w:pBdr>
          <w:bottom w:color="000000" w:space="1" w:sz="12" w:val="single"/>
        </w:pBdr>
        <w:spacing w:line="360" w:lineRule="auto"/>
        <w:rPr/>
      </w:pPr>
      <w:r w:rsidDel="00000000" w:rsidR="00000000" w:rsidRPr="00000000">
        <w:rPr>
          <w:rtl w:val="0"/>
        </w:rPr>
        <w:t xml:space="preserve">**Please note: If this course meets more than one Core Component Area requirement, please modify accordingly</w:t>
      </w:r>
    </w:p>
    <w:p w:rsidR="00000000" w:rsidDel="00000000" w:rsidP="00000000" w:rsidRDefault="00000000" w:rsidRPr="00000000" w14:paraId="00000032">
      <w:pPr>
        <w:spacing w:line="360" w:lineRule="auto"/>
        <w:rPr>
          <w:b w:val="1"/>
        </w:rPr>
      </w:pPr>
      <w:r w:rsidDel="00000000" w:rsidR="00000000" w:rsidRPr="00000000">
        <w:rPr>
          <w:b w:val="1"/>
          <w:rtl w:val="0"/>
        </w:rPr>
        <w:t xml:space="preserve">Ways of Thinking: Aesthetics, History, and Culture </w:t>
      </w:r>
    </w:p>
    <w:p w:rsidR="00000000" w:rsidDel="00000000" w:rsidP="00000000" w:rsidRDefault="00000000" w:rsidRPr="00000000" w14:paraId="00000033">
      <w:pPr>
        <w:spacing w:line="360" w:lineRule="auto"/>
        <w:rPr/>
      </w:pPr>
      <w:r w:rsidDel="00000000" w:rsidR="00000000" w:rsidRPr="00000000">
        <w:rPr>
          <w:rtl w:val="0"/>
        </w:rPr>
        <w:t xml:space="preserve">This course is part of the Saint Louis University Core, an integrated intellectual experience completed by all baccalaureate students, regardless of major, program, college, school or campus. The Core offers all SLU students the same unified approach to Jesuit education guided by SLU’s institutional mission and identity and our nine undergraduate </w:t>
      </w:r>
      <w:hyperlink r:id="rId9">
        <w:r w:rsidDel="00000000" w:rsidR="00000000" w:rsidRPr="00000000">
          <w:rPr>
            <w:color w:val="0563c1"/>
            <w:u w:val="single"/>
            <w:rtl w:val="0"/>
          </w:rPr>
          <w:t xml:space="preserve">Core Student Learning Outcomes</w:t>
        </w:r>
      </w:hyperlink>
      <w:r w:rsidDel="00000000" w:rsidR="00000000" w:rsidRPr="00000000">
        <w:rPr>
          <w:rtl w:val="0"/>
        </w:rPr>
        <w:t xml:space="preserve"> (SLOs). </w:t>
      </w:r>
    </w:p>
    <w:tbl>
      <w:tblPr>
        <w:tblStyle w:val="Table3"/>
        <w:tblW w:w="138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15"/>
        <w:tblGridChange w:id="0">
          <w:tblGrid>
            <w:gridCol w:w="13815"/>
          </w:tblGrid>
        </w:tblGridChange>
      </w:tblGrid>
      <w:tr>
        <w:trPr>
          <w:cantSplit w:val="0"/>
          <w:tblHeader w:val="0"/>
        </w:trPr>
        <w:tc>
          <w:tcPr>
            <w:shd w:fill="d0cece" w:val="clear"/>
          </w:tcPr>
          <w:p w:rsidR="00000000" w:rsidDel="00000000" w:rsidP="00000000" w:rsidRDefault="00000000" w:rsidRPr="00000000" w14:paraId="00000034">
            <w:pPr>
              <w:rPr/>
            </w:pPr>
            <w:r w:rsidDel="00000000" w:rsidR="00000000" w:rsidRPr="00000000">
              <w:rPr>
                <w:b w:val="1"/>
                <w:rtl w:val="0"/>
              </w:rPr>
              <w:t xml:space="preserve">Ways of Thinking: Aesthetics, History, and Culture  </w:t>
            </w:r>
            <w:r w:rsidDel="00000000" w:rsidR="00000000" w:rsidRPr="00000000">
              <w:rPr>
                <w:shd w:fill="d0cece" w:val="clear"/>
                <w:rtl w:val="0"/>
              </w:rPr>
              <w:t xml:space="preserve">is one of 19 Core Components. The University Core SLO(s) that this component is designed to intentionally advance are listed below:</w:t>
            </w:r>
            <w:r w:rsidDel="00000000" w:rsidR="00000000" w:rsidRPr="00000000">
              <w:rPr>
                <w:rtl w:val="0"/>
              </w:rPr>
            </w:r>
          </w:p>
        </w:tc>
      </w:tr>
      <w:tr>
        <w:trPr>
          <w:cantSplit w:val="0"/>
          <w:tblHeader w:val="0"/>
        </w:trPr>
        <w:tc>
          <w:tcPr>
            <w:shd w:fill="bdd7ee" w:val="clear"/>
          </w:tcPr>
          <w:p w:rsidR="00000000" w:rsidDel="00000000" w:rsidP="00000000" w:rsidRDefault="00000000" w:rsidRPr="00000000" w14:paraId="00000035">
            <w:pPr>
              <w:rPr>
                <w:b w:val="1"/>
              </w:rPr>
            </w:pPr>
            <w:r w:rsidDel="00000000" w:rsidR="00000000" w:rsidRPr="00000000">
              <w:rPr>
                <w:b w:val="1"/>
                <w:rtl w:val="0"/>
              </w:rPr>
              <w:t xml:space="preserve">University Core Student Learning Outcomes</w:t>
            </w:r>
          </w:p>
          <w:p w:rsidR="00000000" w:rsidDel="00000000" w:rsidP="00000000" w:rsidRDefault="00000000" w:rsidRPr="00000000" w14:paraId="00000036">
            <w:pPr>
              <w:rPr/>
            </w:pPr>
            <w:r w:rsidDel="00000000" w:rsidR="00000000" w:rsidRPr="00000000">
              <w:rPr>
                <w:rtl w:val="0"/>
              </w:rPr>
              <w:t xml:space="preserve">The Core SLO(s) that this component is intentionally designed to advance are: </w:t>
            </w:r>
          </w:p>
        </w:tc>
      </w:tr>
      <w:tr>
        <w:trPr>
          <w:cantSplit w:val="0"/>
          <w:tblHeader w:val="0"/>
        </w:trPr>
        <w:tc>
          <w:tcPr/>
          <w:p w:rsidR="00000000" w:rsidDel="00000000" w:rsidP="00000000" w:rsidRDefault="00000000" w:rsidRPr="00000000" w14:paraId="00000037">
            <w:pPr>
              <w:rPr/>
            </w:pPr>
            <w:r w:rsidDel="00000000" w:rsidR="00000000" w:rsidRPr="00000000">
              <w:rPr>
                <w:rtl w:val="0"/>
              </w:rPr>
              <w:t xml:space="preserve">SLO 2: Integrate knowledge from multiple disciplines to address complex questions</w:t>
            </w:r>
          </w:p>
        </w:tc>
      </w:tr>
      <w:tr>
        <w:trPr>
          <w:cantSplit w:val="0"/>
          <w:tblHeader w:val="0"/>
        </w:trPr>
        <w:tc>
          <w:tcPr/>
          <w:p w:rsidR="00000000" w:rsidDel="00000000" w:rsidP="00000000" w:rsidRDefault="00000000" w:rsidRPr="00000000" w14:paraId="00000038">
            <w:pPr>
              <w:rPr/>
            </w:pPr>
            <w:r w:rsidDel="00000000" w:rsidR="00000000" w:rsidRPr="00000000">
              <w:rPr>
                <w:rtl w:val="0"/>
              </w:rPr>
              <w:t xml:space="preserve">SLO 3: Assess evidence and draw reasoned conclusions</w:t>
            </w:r>
          </w:p>
        </w:tc>
      </w:tr>
    </w:tbl>
    <w:p w:rsidR="00000000" w:rsidDel="00000000" w:rsidP="00000000" w:rsidRDefault="00000000" w:rsidRPr="00000000" w14:paraId="00000039">
      <w:pPr>
        <w:rPr>
          <w:b w:val="1"/>
          <w:sz w:val="24"/>
          <w:szCs w:val="24"/>
          <w:u w:val="single"/>
        </w:rPr>
      </w:pPr>
      <w:r w:rsidDel="00000000" w:rsidR="00000000" w:rsidRPr="00000000">
        <w:rPr>
          <w:rtl w:val="0"/>
        </w:rPr>
      </w:r>
    </w:p>
    <w:tbl>
      <w:tblPr>
        <w:tblStyle w:val="Table4"/>
        <w:tblW w:w="138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15"/>
        <w:tblGridChange w:id="0">
          <w:tblGrid>
            <w:gridCol w:w="13815"/>
          </w:tblGrid>
        </w:tblGridChange>
      </w:tblGrid>
      <w:tr>
        <w:trPr>
          <w:cantSplit w:val="0"/>
          <w:tblHeader w:val="0"/>
        </w:trPr>
        <w:tc>
          <w:tcPr>
            <w:shd w:fill="d0cece" w:val="clear"/>
          </w:tcPr>
          <w:p w:rsidR="00000000" w:rsidDel="00000000" w:rsidP="00000000" w:rsidRDefault="00000000" w:rsidRPr="00000000" w14:paraId="0000003A">
            <w:pPr>
              <w:rPr>
                <w:b w:val="1"/>
              </w:rPr>
            </w:pPr>
            <w:r w:rsidDel="00000000" w:rsidR="00000000" w:rsidRPr="00000000">
              <w:rPr>
                <w:shd w:fill="d0cece" w:val="clear"/>
                <w:rtl w:val="0"/>
              </w:rPr>
              <w:t xml:space="preserve">Add</w:t>
            </w:r>
            <w:r w:rsidDel="00000000" w:rsidR="00000000" w:rsidRPr="00000000">
              <w:rPr>
                <w:rtl w:val="0"/>
              </w:rPr>
              <w:t xml:space="preserve">itionally, the Core Component-level Student Learning Outcomes are listed below:</w:t>
            </w:r>
            <w:r w:rsidDel="00000000" w:rsidR="00000000" w:rsidRPr="00000000">
              <w:rPr>
                <w:rtl w:val="0"/>
              </w:rPr>
            </w:r>
          </w:p>
        </w:tc>
      </w:tr>
      <w:tr>
        <w:trPr>
          <w:cantSplit w:val="0"/>
          <w:tblHeader w:val="0"/>
        </w:trPr>
        <w:tc>
          <w:tcPr>
            <w:shd w:fill="bdd7ee" w:val="clear"/>
          </w:tcPr>
          <w:p w:rsidR="00000000" w:rsidDel="00000000" w:rsidP="00000000" w:rsidRDefault="00000000" w:rsidRPr="00000000" w14:paraId="0000003B">
            <w:pPr>
              <w:rPr>
                <w:b w:val="1"/>
              </w:rPr>
            </w:pPr>
            <w:r w:rsidDel="00000000" w:rsidR="00000000" w:rsidRPr="00000000">
              <w:rPr>
                <w:b w:val="1"/>
                <w:rtl w:val="0"/>
              </w:rPr>
              <w:t xml:space="preserve">Component-level Student Learning Outcomes</w:t>
            </w:r>
          </w:p>
          <w:p w:rsidR="00000000" w:rsidDel="00000000" w:rsidP="00000000" w:rsidRDefault="00000000" w:rsidRPr="00000000" w14:paraId="0000003C">
            <w:pPr>
              <w:rPr/>
            </w:pPr>
            <w:r w:rsidDel="00000000" w:rsidR="00000000" w:rsidRPr="00000000">
              <w:rPr>
                <w:rtl w:val="0"/>
              </w:rPr>
              <w:t xml:space="preserve">Students who complete this course will be able to:</w:t>
            </w:r>
          </w:p>
        </w:tc>
      </w:tr>
      <w:tr>
        <w:trPr>
          <w:cantSplit w:val="0"/>
          <w:tblHeader w:val="0"/>
        </w:trPr>
        <w:tc>
          <w:tcPr/>
          <w:p w:rsidR="00000000" w:rsidDel="00000000" w:rsidP="00000000" w:rsidRDefault="00000000" w:rsidRPr="00000000" w14:paraId="0000003D">
            <w:pPr>
              <w:numPr>
                <w:ilvl w:val="0"/>
                <w:numId w:val="5"/>
              </w:numPr>
              <w:ind w:left="360"/>
              <w:rPr>
                <w:rFonts w:ascii="Calibri" w:cs="Calibri" w:eastAsia="Calibri" w:hAnsi="Calibri"/>
              </w:rPr>
            </w:pPr>
            <w:r w:rsidDel="00000000" w:rsidR="00000000" w:rsidRPr="00000000">
              <w:rPr>
                <w:rtl w:val="0"/>
              </w:rPr>
              <w:t xml:space="preserve">Demonstrate proficiency in qualitative methods of interpreting cultural products relevant to the period, area or theme of the course</w:t>
            </w:r>
          </w:p>
        </w:tc>
      </w:tr>
      <w:tr>
        <w:trPr>
          <w:cantSplit w:val="0"/>
          <w:tblHeader w:val="0"/>
        </w:trPr>
        <w:tc>
          <w:tcPr/>
          <w:p w:rsidR="00000000" w:rsidDel="00000000" w:rsidP="00000000" w:rsidRDefault="00000000" w:rsidRPr="00000000" w14:paraId="0000003E">
            <w:pPr>
              <w:numPr>
                <w:ilvl w:val="0"/>
                <w:numId w:val="5"/>
              </w:numPr>
              <w:ind w:left="360"/>
              <w:rPr>
                <w:rFonts w:ascii="Calibri" w:cs="Calibri" w:eastAsia="Calibri" w:hAnsi="Calibri"/>
              </w:rPr>
            </w:pPr>
            <w:r w:rsidDel="00000000" w:rsidR="00000000" w:rsidRPr="00000000">
              <w:rPr>
                <w:rtl w:val="0"/>
              </w:rPr>
              <w:t xml:space="preserve">Analyze primary sources appropriate to the discipline (e.g. literary artifacts, visual art, historical documents, performances, or other cultural products) in order to draw reasoned conclusions</w:t>
            </w:r>
          </w:p>
        </w:tc>
      </w:tr>
      <w:tr>
        <w:trPr>
          <w:cantSplit w:val="0"/>
          <w:tblHeader w:val="0"/>
        </w:trPr>
        <w:tc>
          <w:tcPr/>
          <w:p w:rsidR="00000000" w:rsidDel="00000000" w:rsidP="00000000" w:rsidRDefault="00000000" w:rsidRPr="00000000" w14:paraId="0000003F">
            <w:pPr>
              <w:numPr>
                <w:ilvl w:val="0"/>
                <w:numId w:val="4"/>
              </w:numPr>
              <w:ind w:left="330"/>
            </w:pPr>
            <w:r w:rsidDel="00000000" w:rsidR="00000000" w:rsidRPr="00000000">
              <w:rPr>
                <w:rtl w:val="0"/>
              </w:rPr>
              <w:t xml:space="preserve">Develop interpretive claims about how larger social contexts shape cultural products</w:t>
            </w:r>
          </w:p>
        </w:tc>
      </w:tr>
    </w:tbl>
    <w:p w:rsidR="00000000" w:rsidDel="00000000" w:rsidP="00000000" w:rsidRDefault="00000000" w:rsidRPr="00000000" w14:paraId="00000040">
      <w:pPr>
        <w:spacing w:line="360" w:lineRule="auto"/>
        <w:rPr>
          <w:b w:val="1"/>
          <w:sz w:val="26"/>
          <w:szCs w:val="26"/>
          <w:u w:val="single"/>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tbl>
      <w:tblPr>
        <w:tblStyle w:val="Table5"/>
        <w:tblW w:w="1382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9"/>
        <w:gridCol w:w="7366"/>
        <w:gridCol w:w="2599"/>
        <w:tblGridChange w:id="0">
          <w:tblGrid>
            <w:gridCol w:w="3859"/>
            <w:gridCol w:w="7366"/>
            <w:gridCol w:w="2599"/>
          </w:tblGrid>
        </w:tblGridChange>
      </w:tblGrid>
      <w:tr>
        <w:trPr>
          <w:cantSplit w:val="0"/>
          <w:tblHeader w:val="0"/>
        </w:trPr>
        <w:tc>
          <w:tcPr>
            <w:gridSpan w:val="2"/>
            <w:tcBorders>
              <w:bottom w:color="000000" w:space="0" w:sz="4" w:val="single"/>
              <w:right w:color="000000" w:space="0" w:sz="0" w:val="nil"/>
            </w:tcBorders>
            <w:shd w:fill="d9e2f3" w:val="clear"/>
          </w:tcPr>
          <w:p w:rsidR="00000000" w:rsidDel="00000000" w:rsidP="00000000" w:rsidRDefault="00000000" w:rsidRPr="00000000" w14:paraId="00000043">
            <w:pPr>
              <w:tabs>
                <w:tab w:val="left" w:leader="none" w:pos="6660"/>
              </w:tabs>
              <w:spacing w:after="40" w:before="40" w:lineRule="auto"/>
              <w:rPr>
                <w:b w:val="1"/>
                <w:color w:val="ffffff"/>
                <w:sz w:val="20"/>
                <w:szCs w:val="20"/>
              </w:rPr>
            </w:pPr>
            <w:r w:rsidDel="00000000" w:rsidR="00000000" w:rsidRPr="00000000">
              <w:rPr>
                <w:b w:val="1"/>
                <w:color w:val="2e75b5"/>
                <w:sz w:val="28"/>
                <w:szCs w:val="28"/>
                <w:rtl w:val="0"/>
              </w:rPr>
              <w:t xml:space="preserve">Core Component Learning Outcomes</w:t>
            </w:r>
            <w:r w:rsidDel="00000000" w:rsidR="00000000" w:rsidRPr="00000000">
              <w:rPr>
                <w:rtl w:val="0"/>
              </w:rPr>
            </w:r>
          </w:p>
        </w:tc>
        <w:tc>
          <w:tcPr>
            <w:tcBorders>
              <w:left w:color="000000" w:space="0" w:sz="0" w:val="nil"/>
              <w:bottom w:color="000000" w:space="0" w:sz="4" w:val="single"/>
            </w:tcBorders>
            <w:shd w:fill="d9e2f3" w:val="clear"/>
          </w:tcPr>
          <w:p w:rsidR="00000000" w:rsidDel="00000000" w:rsidP="00000000" w:rsidRDefault="00000000" w:rsidRPr="00000000" w14:paraId="00000045">
            <w:pPr>
              <w:tabs>
                <w:tab w:val="left" w:leader="none" w:pos="6660"/>
              </w:tabs>
              <w:spacing w:after="40" w:before="40" w:lineRule="auto"/>
              <w:rPr>
                <w:b w:val="1"/>
                <w:color w:val="ffffff"/>
                <w:sz w:val="20"/>
                <w:szCs w:val="20"/>
              </w:rPr>
            </w:pPr>
            <w:r w:rsidDel="00000000" w:rsidR="00000000" w:rsidRPr="00000000">
              <w:rPr>
                <w:rtl w:val="0"/>
              </w:rPr>
            </w:r>
          </w:p>
        </w:tc>
      </w:tr>
      <w:tr>
        <w:trPr>
          <w:cantSplit w:val="0"/>
          <w:trHeight w:val="476" w:hRule="atLeast"/>
          <w:tblHeader w:val="0"/>
        </w:trPr>
        <w:tc>
          <w:tcPr>
            <w:shd w:fill="d9e2f3" w:val="clear"/>
          </w:tcPr>
          <w:p w:rsidR="00000000" w:rsidDel="00000000" w:rsidP="00000000" w:rsidRDefault="00000000" w:rsidRPr="00000000" w14:paraId="00000046">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Below, you will find listed the 3 course-level student learning outcomes associated with this Core component area.</w:t>
            </w:r>
          </w:p>
          <w:p w:rsidR="00000000" w:rsidDel="00000000" w:rsidP="00000000" w:rsidRDefault="00000000" w:rsidRPr="00000000" w14:paraId="00000047">
            <w:pPr>
              <w:tabs>
                <w:tab w:val="left" w:leader="none" w:pos="6660"/>
              </w:tabs>
              <w:spacing w:after="40" w:before="40" w:lineRule="auto"/>
              <w:rPr>
                <w:b w:val="1"/>
                <w:color w:val="2e75b5"/>
                <w:sz w:val="20"/>
                <w:szCs w:val="20"/>
              </w:rPr>
            </w:pPr>
            <w:r w:rsidDel="00000000" w:rsidR="00000000" w:rsidRPr="00000000">
              <w:rPr>
                <w:rtl w:val="0"/>
              </w:rPr>
            </w:r>
          </w:p>
        </w:tc>
        <w:tc>
          <w:tcPr>
            <w:gridSpan w:val="2"/>
          </w:tcPr>
          <w:p w:rsidR="00000000" w:rsidDel="00000000" w:rsidP="00000000" w:rsidRDefault="00000000" w:rsidRPr="00000000" w14:paraId="00000048">
            <w:pPr>
              <w:tabs>
                <w:tab w:val="left" w:leader="none" w:pos="6660"/>
              </w:tabs>
              <w:spacing w:after="40" w:before="40" w:lineRule="auto"/>
              <w:rPr>
                <w:b w:val="1"/>
                <w:i w:val="1"/>
                <w:color w:val="2e75b5"/>
                <w:sz w:val="20"/>
                <w:szCs w:val="20"/>
              </w:rPr>
            </w:pPr>
            <w:r w:rsidDel="00000000" w:rsidR="00000000" w:rsidRPr="00000000">
              <w:rPr>
                <w:b w:val="1"/>
                <w:i w:val="1"/>
                <w:color w:val="2e75b5"/>
                <w:sz w:val="20"/>
                <w:szCs w:val="20"/>
                <w:rtl w:val="0"/>
              </w:rPr>
              <w:t xml:space="preserve">In the space provided, please provide examples of readings, assignments, and/or activities that demonstrate how this course is designed to facilitate student achievement of these outcomes.</w:t>
            </w:r>
          </w:p>
        </w:tc>
      </w:tr>
      <w:tr>
        <w:trPr>
          <w:cantSplit w:val="0"/>
          <w:trHeight w:val="1763" w:hRule="atLeast"/>
          <w:tblHeader w:val="0"/>
        </w:trPr>
        <w:tc>
          <w:tcPr>
            <w:shd w:fill="d9e2f3" w:val="clear"/>
          </w:tcPr>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6660"/>
              </w:tabs>
              <w:spacing w:after="0" w:before="0" w:line="240" w:lineRule="auto"/>
              <w:ind w:left="360" w:right="0" w:hanging="270"/>
              <w:jc w:val="left"/>
              <w:rPr>
                <w:rFonts w:ascii="Calibri" w:cs="Calibri" w:eastAsia="Calibri" w:hAnsi="Calibri"/>
                <w:b w:val="0"/>
                <w:i w:val="0"/>
                <w:smallCaps w:val="0"/>
                <w:strike w:val="0"/>
                <w:color w:val="2e75b5"/>
                <w:sz w:val="20"/>
                <w:szCs w:val="20"/>
                <w:shd w:fill="auto" w:val="clear"/>
                <w:vertAlign w:val="baseline"/>
              </w:rPr>
            </w:pP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Students will be able to demonstrate proficiency in qualitative methods of interpreting cultural products relevant to the period, area or theme of the course</w:t>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left" w:leader="none" w:pos="6660"/>
              </w:tabs>
              <w:rPr>
                <w:rFonts w:ascii="Calibri" w:cs="Calibri" w:eastAsia="Calibri" w:hAnsi="Calibri"/>
                <w:color w:val="2f5496"/>
                <w:sz w:val="20"/>
                <w:szCs w:val="20"/>
              </w:rPr>
            </w:pPr>
            <w:r w:rsidDel="00000000" w:rsidR="00000000" w:rsidRPr="00000000">
              <w:rPr>
                <w:rtl w:val="0"/>
              </w:rPr>
            </w:r>
          </w:p>
          <w:p w:rsidR="00000000" w:rsidDel="00000000" w:rsidP="00000000" w:rsidRDefault="00000000" w:rsidRPr="00000000" w14:paraId="0000004C">
            <w:pPr>
              <w:tabs>
                <w:tab w:val="left" w:leader="none" w:pos="6660"/>
              </w:tabs>
              <w:spacing w:after="40" w:before="40" w:lineRule="auto"/>
              <w:ind w:left="36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 requested revisions</w:t>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left" w:leader="none" w:pos="6660"/>
              </w:tabs>
              <w:rPr>
                <w:rFonts w:ascii="Calibri" w:cs="Calibri" w:eastAsia="Calibri" w:hAnsi="Calibri"/>
                <w:color w:val="2f5496"/>
                <w:sz w:val="20"/>
                <w:szCs w:val="20"/>
              </w:rPr>
            </w:pPr>
            <w:r w:rsidDel="00000000" w:rsidR="00000000" w:rsidRPr="00000000">
              <w:rPr>
                <w:rtl w:val="0"/>
              </w:rPr>
            </w:r>
          </w:p>
        </w:tc>
        <w:tc>
          <w:tcPr>
            <w:gridSpan w:val="2"/>
          </w:tcPr>
          <w:p w:rsidR="00000000" w:rsidDel="00000000" w:rsidP="00000000" w:rsidRDefault="00000000" w:rsidRPr="00000000" w14:paraId="0000004E">
            <w:pPr>
              <w:tabs>
                <w:tab w:val="left" w:leader="none" w:pos="6660"/>
              </w:tabs>
              <w:ind w:left="0" w:firstLine="0"/>
              <w:rPr>
                <w:color w:val="2e75b5"/>
                <w:sz w:val="20"/>
                <w:szCs w:val="20"/>
              </w:rPr>
            </w:pPr>
            <w:r w:rsidDel="00000000" w:rsidR="00000000" w:rsidRPr="00000000">
              <w:rPr>
                <w:color w:val="2e75b5"/>
                <w:sz w:val="20"/>
                <w:szCs w:val="20"/>
                <w:rtl w:val="0"/>
              </w:rPr>
              <w:t xml:space="preserve">How will you ensure that this course will teach students about—and require students to engage in—the different ways of thinking through which scholars study culture through the examination of artifacts and contexts?</w:t>
            </w:r>
          </w:p>
        </w:tc>
      </w:tr>
      <w:tr>
        <w:trPr>
          <w:cantSplit w:val="0"/>
          <w:trHeight w:val="1763" w:hRule="atLeast"/>
          <w:tblHeader w:val="0"/>
        </w:trPr>
        <w:tc>
          <w:tcPr>
            <w:shd w:fill="d9e2f3" w:val="clear"/>
          </w:tcPr>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6660"/>
              </w:tabs>
              <w:spacing w:after="0" w:before="0" w:line="240" w:lineRule="auto"/>
              <w:ind w:left="360" w:right="0" w:hanging="270"/>
              <w:jc w:val="left"/>
              <w:rPr>
                <w:rFonts w:ascii="Calibri" w:cs="Calibri" w:eastAsia="Calibri" w:hAnsi="Calibri"/>
                <w:b w:val="0"/>
                <w:i w:val="0"/>
                <w:smallCaps w:val="0"/>
                <w:strike w:val="0"/>
                <w:color w:val="2e75b5"/>
                <w:sz w:val="20"/>
                <w:szCs w:val="20"/>
                <w:shd w:fill="auto" w:val="clear"/>
                <w:vertAlign w:val="baseline"/>
              </w:rPr>
            </w:pP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Students will be able to analyze primary sources appropriate to the discipline (e.g. literary artifacts, visual art, historical documents, performances, or other cultural products) in order to draw reasoned conclusions</w:t>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left" w:leader="none" w:pos="6660"/>
              </w:tabs>
              <w:rPr>
                <w:rFonts w:ascii="Calibri" w:cs="Calibri" w:eastAsia="Calibri" w:hAnsi="Calibri"/>
                <w:color w:val="2f5496"/>
                <w:sz w:val="20"/>
                <w:szCs w:val="20"/>
              </w:rPr>
            </w:pPr>
            <w:r w:rsidDel="00000000" w:rsidR="00000000" w:rsidRPr="00000000">
              <w:rPr>
                <w:rtl w:val="0"/>
              </w:rPr>
            </w:r>
          </w:p>
          <w:p w:rsidR="00000000" w:rsidDel="00000000" w:rsidP="00000000" w:rsidRDefault="00000000" w:rsidRPr="00000000" w14:paraId="00000052">
            <w:pPr>
              <w:tabs>
                <w:tab w:val="left" w:leader="none" w:pos="6660"/>
              </w:tabs>
              <w:spacing w:after="40" w:before="40" w:lineRule="auto"/>
              <w:ind w:left="36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 requested revisions</w:t>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left" w:leader="none" w:pos="6660"/>
              </w:tabs>
              <w:rPr>
                <w:rFonts w:ascii="Calibri" w:cs="Calibri" w:eastAsia="Calibri" w:hAnsi="Calibri"/>
                <w:color w:val="2f5496"/>
                <w:sz w:val="20"/>
                <w:szCs w:val="20"/>
              </w:rPr>
            </w:pPr>
            <w:r w:rsidDel="00000000" w:rsidR="00000000" w:rsidRPr="00000000">
              <w:rPr>
                <w:rtl w:val="0"/>
              </w:rPr>
            </w:r>
          </w:p>
        </w:tc>
        <w:tc>
          <w:tcPr>
            <w:gridSpan w:val="2"/>
          </w:tcPr>
          <w:p w:rsidR="00000000" w:rsidDel="00000000" w:rsidP="00000000" w:rsidRDefault="00000000" w:rsidRPr="00000000" w14:paraId="00000054">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How will you ensure that this course requires students to engage with primary sources as appropriate to the discipline (e.g. literature, visual art, objects, archival documents, or other cultural products) and to develop an awareness of scholarly methods appropriate to these fields of inquiry?</w:t>
            </w:r>
          </w:p>
        </w:tc>
      </w:tr>
      <w:tr>
        <w:trPr>
          <w:cantSplit w:val="0"/>
          <w:trHeight w:val="1763" w:hRule="atLeast"/>
          <w:tblHeader w:val="0"/>
        </w:trPr>
        <w:tc>
          <w:tcPr>
            <w:shd w:fill="d9e2f3" w:val="clear"/>
          </w:tcPr>
          <w:p w:rsidR="00000000" w:rsidDel="00000000" w:rsidP="00000000" w:rsidRDefault="00000000" w:rsidRPr="00000000" w14:paraId="00000056">
            <w:pPr>
              <w:numPr>
                <w:ilvl w:val="0"/>
                <w:numId w:val="6"/>
              </w:numPr>
              <w:pBdr>
                <w:top w:space="0" w:sz="0" w:val="nil"/>
                <w:left w:space="0" w:sz="0" w:val="nil"/>
                <w:bottom w:space="0" w:sz="0" w:val="nil"/>
                <w:right w:space="0" w:sz="0" w:val="nil"/>
                <w:between w:space="0" w:sz="0" w:val="nil"/>
              </w:pBdr>
              <w:tabs>
                <w:tab w:val="left" w:leader="none" w:pos="6660"/>
              </w:tabs>
              <w:ind w:left="360" w:hanging="270"/>
              <w:rPr>
                <w:rFonts w:ascii="Calibri" w:cs="Calibri" w:eastAsia="Calibri" w:hAnsi="Calibri"/>
                <w:color w:val="2e75b5"/>
                <w:sz w:val="20"/>
                <w:szCs w:val="20"/>
              </w:rPr>
            </w:pPr>
            <w:r w:rsidDel="00000000" w:rsidR="00000000" w:rsidRPr="00000000">
              <w:rPr>
                <w:rFonts w:ascii="Calibri" w:cs="Calibri" w:eastAsia="Calibri" w:hAnsi="Calibri"/>
                <w:color w:val="2e75b5"/>
                <w:sz w:val="20"/>
                <w:szCs w:val="20"/>
                <w:rtl w:val="0"/>
              </w:rPr>
              <w:t xml:space="preserve">Students will be able to develop interpretive claims about how larger social contexts shape cultural products</w:t>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left" w:leader="none" w:pos="6660"/>
              </w:tabs>
              <w:rPr>
                <w:rFonts w:ascii="Calibri" w:cs="Calibri" w:eastAsia="Calibri" w:hAnsi="Calibri"/>
                <w:color w:val="2f5496"/>
                <w:sz w:val="20"/>
                <w:szCs w:val="20"/>
              </w:rPr>
            </w:pPr>
            <w:r w:rsidDel="00000000" w:rsidR="00000000" w:rsidRPr="00000000">
              <w:rPr>
                <w:rtl w:val="0"/>
              </w:rPr>
            </w:r>
          </w:p>
          <w:p w:rsidR="00000000" w:rsidDel="00000000" w:rsidP="00000000" w:rsidRDefault="00000000" w:rsidRPr="00000000" w14:paraId="00000058">
            <w:pPr>
              <w:tabs>
                <w:tab w:val="left" w:leader="none" w:pos="6660"/>
              </w:tabs>
              <w:spacing w:after="40" w:before="40" w:lineRule="auto"/>
              <w:ind w:left="36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 requested revisions</w:t>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left" w:leader="none" w:pos="6660"/>
              </w:tabs>
              <w:rPr>
                <w:rFonts w:ascii="Calibri" w:cs="Calibri" w:eastAsia="Calibri" w:hAnsi="Calibri"/>
                <w:color w:val="2f5496"/>
                <w:sz w:val="20"/>
                <w:szCs w:val="20"/>
              </w:rPr>
            </w:pPr>
            <w:r w:rsidDel="00000000" w:rsidR="00000000" w:rsidRPr="00000000">
              <w:rPr>
                <w:rtl w:val="0"/>
              </w:rPr>
            </w:r>
          </w:p>
        </w:tc>
        <w:tc>
          <w:tcPr>
            <w:gridSpan w:val="2"/>
          </w:tcPr>
          <w:p w:rsidR="00000000" w:rsidDel="00000000" w:rsidP="00000000" w:rsidRDefault="00000000" w:rsidRPr="00000000" w14:paraId="0000005A">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How will you ensure that this course will require students to develop analytical, linguistic, and/or creative skills to interpret how larger contexts shape the products being studied?</w:t>
            </w:r>
          </w:p>
        </w:tc>
      </w:tr>
    </w:tbl>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tbl>
      <w:tblPr>
        <w:tblStyle w:val="Table6"/>
        <w:tblW w:w="1382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9"/>
        <w:gridCol w:w="7366"/>
        <w:gridCol w:w="2599"/>
        <w:tblGridChange w:id="0">
          <w:tblGrid>
            <w:gridCol w:w="3859"/>
            <w:gridCol w:w="7366"/>
            <w:gridCol w:w="2599"/>
          </w:tblGrid>
        </w:tblGridChange>
      </w:tblGrid>
      <w:tr>
        <w:trPr>
          <w:cantSplit w:val="0"/>
          <w:tblHeader w:val="0"/>
        </w:trPr>
        <w:tc>
          <w:tcPr>
            <w:gridSpan w:val="2"/>
            <w:tcBorders>
              <w:bottom w:color="000000" w:space="0" w:sz="4" w:val="single"/>
              <w:right w:color="000000" w:space="0" w:sz="0" w:val="nil"/>
            </w:tcBorders>
            <w:shd w:fill="d9e2f3" w:val="clear"/>
          </w:tcPr>
          <w:p w:rsidR="00000000" w:rsidDel="00000000" w:rsidP="00000000" w:rsidRDefault="00000000" w:rsidRPr="00000000" w14:paraId="0000005F">
            <w:pPr>
              <w:tabs>
                <w:tab w:val="left" w:leader="none" w:pos="6660"/>
              </w:tabs>
              <w:spacing w:after="40" w:before="40" w:lineRule="auto"/>
              <w:rPr>
                <w:b w:val="1"/>
                <w:color w:val="ffffff"/>
                <w:sz w:val="20"/>
                <w:szCs w:val="20"/>
              </w:rPr>
            </w:pPr>
            <w:r w:rsidDel="00000000" w:rsidR="00000000" w:rsidRPr="00000000">
              <w:rPr>
                <w:b w:val="1"/>
                <w:color w:val="2e75b5"/>
                <w:sz w:val="28"/>
                <w:szCs w:val="28"/>
                <w:rtl w:val="0"/>
              </w:rPr>
              <w:t xml:space="preserve">Core SLO(s)                                                                 (</w:t>
            </w:r>
            <w:hyperlink r:id="rId10">
              <w:r w:rsidDel="00000000" w:rsidR="00000000" w:rsidRPr="00000000">
                <w:rPr>
                  <w:b w:val="1"/>
                  <w:color w:val="0563c1"/>
                  <w:sz w:val="28"/>
                  <w:szCs w:val="28"/>
                  <w:u w:val="single"/>
                  <w:rtl w:val="0"/>
                </w:rPr>
                <w:t xml:space="preserve">Click here for more information on Core SLO’s)</w:t>
              </w:r>
            </w:hyperlink>
            <w:r w:rsidDel="00000000" w:rsidR="00000000" w:rsidRPr="00000000">
              <w:rPr>
                <w:rtl w:val="0"/>
              </w:rPr>
            </w:r>
          </w:p>
        </w:tc>
        <w:tc>
          <w:tcPr>
            <w:tcBorders>
              <w:left w:color="000000" w:space="0" w:sz="0" w:val="nil"/>
              <w:bottom w:color="000000" w:space="0" w:sz="4" w:val="single"/>
            </w:tcBorders>
            <w:shd w:fill="d9e2f3" w:val="clear"/>
          </w:tcPr>
          <w:p w:rsidR="00000000" w:rsidDel="00000000" w:rsidP="00000000" w:rsidRDefault="00000000" w:rsidRPr="00000000" w14:paraId="00000061">
            <w:pPr>
              <w:tabs>
                <w:tab w:val="left" w:leader="none" w:pos="6660"/>
              </w:tabs>
              <w:spacing w:after="40" w:before="40" w:lineRule="auto"/>
              <w:rPr>
                <w:b w:val="1"/>
                <w:color w:val="ffffff"/>
                <w:sz w:val="20"/>
                <w:szCs w:val="20"/>
              </w:rPr>
            </w:pPr>
            <w:r w:rsidDel="00000000" w:rsidR="00000000" w:rsidRPr="00000000">
              <w:rPr>
                <w:rtl w:val="0"/>
              </w:rPr>
            </w:r>
          </w:p>
        </w:tc>
      </w:tr>
      <w:tr>
        <w:trPr>
          <w:cantSplit w:val="0"/>
          <w:trHeight w:val="476" w:hRule="atLeast"/>
          <w:tblHeader w:val="0"/>
        </w:trPr>
        <w:tc>
          <w:tcPr>
            <w:tcBorders>
              <w:bottom w:color="000000" w:space="0" w:sz="4" w:val="single"/>
            </w:tcBorders>
            <w:shd w:fill="d9e2f3" w:val="clear"/>
          </w:tcPr>
          <w:p w:rsidR="00000000" w:rsidDel="00000000" w:rsidP="00000000" w:rsidRDefault="00000000" w:rsidRPr="00000000" w14:paraId="00000062">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This course/experience is part of an integrated university-wide Core curriculum designed to facilitate student achievement of SLU’s nine University Core SLOs.  Below, you will find listed the 2 University Core-level student learning outcomes associated with this Core component area.</w:t>
            </w:r>
          </w:p>
          <w:p w:rsidR="00000000" w:rsidDel="00000000" w:rsidP="00000000" w:rsidRDefault="00000000" w:rsidRPr="00000000" w14:paraId="00000063">
            <w:pPr>
              <w:tabs>
                <w:tab w:val="left" w:leader="none" w:pos="6660"/>
              </w:tabs>
              <w:spacing w:after="40" w:before="40" w:lineRule="auto"/>
              <w:rPr>
                <w:b w:val="1"/>
                <w:color w:val="2e75b5"/>
                <w:sz w:val="20"/>
                <w:szCs w:val="20"/>
              </w:rPr>
            </w:pPr>
            <w:r w:rsidDel="00000000" w:rsidR="00000000" w:rsidRPr="00000000">
              <w:rPr>
                <w:rtl w:val="0"/>
              </w:rPr>
            </w:r>
          </w:p>
        </w:tc>
        <w:tc>
          <w:tcPr>
            <w:gridSpan w:val="2"/>
          </w:tcPr>
          <w:p w:rsidR="00000000" w:rsidDel="00000000" w:rsidP="00000000" w:rsidRDefault="00000000" w:rsidRPr="00000000" w14:paraId="00000064">
            <w:pPr>
              <w:rPr>
                <w:color w:val="2e75b5"/>
                <w:sz w:val="20"/>
                <w:szCs w:val="20"/>
                <w:highlight w:val="white"/>
              </w:rPr>
            </w:pPr>
            <w:r w:rsidDel="00000000" w:rsidR="00000000" w:rsidRPr="00000000">
              <w:rPr>
                <w:b w:val="1"/>
                <w:i w:val="1"/>
                <w:color w:val="2e75b5"/>
                <w:sz w:val="20"/>
                <w:szCs w:val="20"/>
                <w:rtl w:val="0"/>
              </w:rPr>
              <w:t xml:space="preserve">In the space provided, please provide examples of readings, assignments, and/or activities that demonstrate how this course is designed to facilitate student achievement of these 2 outcomes at the levels indicated in parentheses.</w:t>
            </w: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66">
            <w:pPr>
              <w:tabs>
                <w:tab w:val="left" w:leader="none" w:pos="6660"/>
              </w:tabs>
              <w:spacing w:after="40" w:before="40" w:lineRule="auto"/>
              <w:ind w:left="90" w:firstLine="0"/>
              <w:rPr>
                <w:b w:val="1"/>
                <w:color w:val="2e75b5"/>
                <w:sz w:val="20"/>
                <w:szCs w:val="20"/>
              </w:rPr>
            </w:pPr>
            <w:r w:rsidDel="00000000" w:rsidR="00000000" w:rsidRPr="00000000">
              <w:rPr>
                <w:b w:val="1"/>
                <w:color w:val="2e75b5"/>
                <w:sz w:val="20"/>
                <w:szCs w:val="20"/>
                <w:u w:val="single"/>
                <w:rtl w:val="0"/>
              </w:rPr>
              <w:t xml:space="preserve">SLO 2</w:t>
            </w:r>
            <w:r w:rsidDel="00000000" w:rsidR="00000000" w:rsidRPr="00000000">
              <w:rPr>
                <w:b w:val="1"/>
                <w:color w:val="2e75b5"/>
                <w:sz w:val="20"/>
                <w:szCs w:val="20"/>
                <w:rtl w:val="0"/>
              </w:rPr>
              <w:t xml:space="preserve">: Students will be able to integrate knowledge from multiple disciplines to address complex questions (Develop)</w:t>
            </w:r>
          </w:p>
          <w:p w:rsidR="00000000" w:rsidDel="00000000" w:rsidP="00000000" w:rsidRDefault="00000000" w:rsidRPr="00000000" w14:paraId="00000067">
            <w:pPr>
              <w:tabs>
                <w:tab w:val="left" w:leader="none" w:pos="6660"/>
              </w:tabs>
              <w:spacing w:after="40" w:before="40" w:lineRule="auto"/>
              <w:ind w:left="90" w:firstLine="0"/>
              <w:rPr>
                <w:b w:val="1"/>
                <w:color w:val="2e75b5"/>
                <w:sz w:val="20"/>
                <w:szCs w:val="20"/>
              </w:rPr>
            </w:pPr>
            <w:r w:rsidDel="00000000" w:rsidR="00000000" w:rsidRPr="00000000">
              <w:rPr>
                <w:rtl w:val="0"/>
              </w:rPr>
            </w:r>
          </w:p>
          <w:p w:rsidR="00000000" w:rsidDel="00000000" w:rsidP="00000000" w:rsidRDefault="00000000" w:rsidRPr="00000000" w14:paraId="00000068">
            <w:pPr>
              <w:tabs>
                <w:tab w:val="left" w:leader="none" w:pos="6660"/>
              </w:tabs>
              <w:spacing w:after="40" w:before="40" w:lineRule="auto"/>
              <w:ind w:left="9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 requested revisions</w:t>
            </w:r>
          </w:p>
          <w:p w:rsidR="00000000" w:rsidDel="00000000" w:rsidP="00000000" w:rsidRDefault="00000000" w:rsidRPr="00000000" w14:paraId="00000069">
            <w:pPr>
              <w:tabs>
                <w:tab w:val="left" w:leader="none" w:pos="6660"/>
              </w:tabs>
              <w:spacing w:after="40" w:before="40" w:lineRule="auto"/>
              <w:ind w:left="90" w:firstLine="0"/>
              <w:rPr>
                <w:b w:val="1"/>
                <w:color w:val="2e75b5"/>
                <w:sz w:val="20"/>
                <w:szCs w:val="20"/>
              </w:rPr>
            </w:pPr>
            <w:r w:rsidDel="00000000" w:rsidR="00000000" w:rsidRPr="00000000">
              <w:rPr>
                <w:rtl w:val="0"/>
              </w:rPr>
            </w:r>
          </w:p>
          <w:p w:rsidR="00000000" w:rsidDel="00000000" w:rsidP="00000000" w:rsidRDefault="00000000" w:rsidRPr="00000000" w14:paraId="0000006A">
            <w:pPr>
              <w:tabs>
                <w:tab w:val="left" w:leader="none" w:pos="6660"/>
              </w:tabs>
              <w:spacing w:after="40" w:before="40" w:lineRule="auto"/>
              <w:ind w:left="90" w:firstLine="0"/>
              <w:rPr>
                <w:color w:val="2e75b5"/>
                <w:sz w:val="20"/>
                <w:szCs w:val="20"/>
              </w:rPr>
            </w:pPr>
            <w:r w:rsidDel="00000000" w:rsidR="00000000" w:rsidRPr="00000000">
              <w:rPr>
                <w:rtl w:val="0"/>
              </w:rPr>
            </w:r>
          </w:p>
        </w:tc>
        <w:tc>
          <w:tcPr>
            <w:gridSpan w:val="2"/>
          </w:tcPr>
          <w:p w:rsidR="00000000" w:rsidDel="00000000" w:rsidP="00000000" w:rsidRDefault="00000000" w:rsidRPr="00000000" w14:paraId="0000006B">
            <w:pPr>
              <w:tabs>
                <w:tab w:val="left" w:leader="none" w:pos="6660"/>
              </w:tabs>
              <w:spacing w:after="40" w:before="40" w:lineRule="auto"/>
              <w:rPr>
                <w:color w:val="2e75b5"/>
                <w:sz w:val="20"/>
                <w:szCs w:val="20"/>
              </w:rPr>
            </w:pP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6D">
            <w:pPr>
              <w:tabs>
                <w:tab w:val="left" w:leader="none" w:pos="6660"/>
              </w:tabs>
              <w:spacing w:after="40" w:before="40" w:lineRule="auto"/>
              <w:ind w:left="90" w:firstLine="0"/>
              <w:rPr>
                <w:b w:val="1"/>
                <w:color w:val="2e75b5"/>
                <w:sz w:val="20"/>
                <w:szCs w:val="20"/>
                <w:u w:val="single"/>
              </w:rPr>
            </w:pPr>
            <w:r w:rsidDel="00000000" w:rsidR="00000000" w:rsidRPr="00000000">
              <w:rPr>
                <w:b w:val="1"/>
                <w:color w:val="2e75b5"/>
                <w:sz w:val="20"/>
                <w:szCs w:val="20"/>
                <w:u w:val="single"/>
                <w:rtl w:val="0"/>
              </w:rPr>
              <w:t xml:space="preserve">SLO 3</w:t>
            </w:r>
            <w:r w:rsidDel="00000000" w:rsidR="00000000" w:rsidRPr="00000000">
              <w:rPr>
                <w:b w:val="1"/>
                <w:color w:val="2e75b5"/>
                <w:sz w:val="20"/>
                <w:szCs w:val="20"/>
                <w:rtl w:val="0"/>
              </w:rPr>
              <w:t xml:space="preserve">: Students will be able to assess evidence and draw reasoned conclusions (Develop)</w:t>
            </w:r>
            <w:r w:rsidDel="00000000" w:rsidR="00000000" w:rsidRPr="00000000">
              <w:rPr>
                <w:rtl w:val="0"/>
              </w:rPr>
            </w:r>
          </w:p>
          <w:p w:rsidR="00000000" w:rsidDel="00000000" w:rsidP="00000000" w:rsidRDefault="00000000" w:rsidRPr="00000000" w14:paraId="0000006E">
            <w:pPr>
              <w:tabs>
                <w:tab w:val="left" w:leader="none" w:pos="6660"/>
              </w:tabs>
              <w:spacing w:after="40" w:before="40" w:lineRule="auto"/>
              <w:ind w:left="90" w:firstLine="0"/>
              <w:rPr>
                <w:b w:val="1"/>
                <w:color w:val="2e75b5"/>
                <w:sz w:val="20"/>
                <w:szCs w:val="20"/>
                <w:u w:val="single"/>
              </w:rPr>
            </w:pPr>
            <w:r w:rsidDel="00000000" w:rsidR="00000000" w:rsidRPr="00000000">
              <w:rPr>
                <w:rtl w:val="0"/>
              </w:rPr>
            </w:r>
          </w:p>
          <w:p w:rsidR="00000000" w:rsidDel="00000000" w:rsidP="00000000" w:rsidRDefault="00000000" w:rsidRPr="00000000" w14:paraId="0000006F">
            <w:pPr>
              <w:tabs>
                <w:tab w:val="left" w:leader="none" w:pos="6660"/>
              </w:tabs>
              <w:spacing w:after="40" w:before="40" w:lineRule="auto"/>
              <w:ind w:left="9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 requested revisions</w:t>
            </w:r>
          </w:p>
          <w:p w:rsidR="00000000" w:rsidDel="00000000" w:rsidP="00000000" w:rsidRDefault="00000000" w:rsidRPr="00000000" w14:paraId="00000070">
            <w:pPr>
              <w:tabs>
                <w:tab w:val="left" w:leader="none" w:pos="6660"/>
              </w:tabs>
              <w:spacing w:after="40" w:before="40" w:lineRule="auto"/>
              <w:ind w:left="90" w:firstLine="0"/>
              <w:rPr>
                <w:b w:val="1"/>
                <w:color w:val="2e75b5"/>
                <w:sz w:val="20"/>
                <w:szCs w:val="20"/>
                <w:u w:val="single"/>
              </w:rPr>
            </w:pPr>
            <w:r w:rsidDel="00000000" w:rsidR="00000000" w:rsidRPr="00000000">
              <w:rPr>
                <w:rtl w:val="0"/>
              </w:rPr>
            </w:r>
          </w:p>
        </w:tc>
        <w:tc>
          <w:tcPr>
            <w:gridSpan w:val="2"/>
          </w:tcPr>
          <w:p w:rsidR="00000000" w:rsidDel="00000000" w:rsidP="00000000" w:rsidRDefault="00000000" w:rsidRPr="00000000" w14:paraId="00000071">
            <w:pPr>
              <w:tabs>
                <w:tab w:val="left" w:leader="none" w:pos="6660"/>
              </w:tabs>
              <w:spacing w:after="40" w:before="40" w:lineRule="auto"/>
              <w:rPr>
                <w:color w:val="2e75b5"/>
                <w:sz w:val="20"/>
                <w:szCs w:val="20"/>
              </w:rPr>
            </w:pPr>
            <w:r w:rsidDel="00000000" w:rsidR="00000000" w:rsidRPr="00000000">
              <w:rPr>
                <w:rtl w:val="0"/>
              </w:rPr>
            </w:r>
          </w:p>
        </w:tc>
      </w:tr>
    </w:tbl>
    <w:p w:rsidR="00000000" w:rsidDel="00000000" w:rsidP="00000000" w:rsidRDefault="00000000" w:rsidRPr="00000000" w14:paraId="00000073">
      <w:pPr>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S Gothic"/>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F424A"/>
    <w:rPr>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F424A"/>
    <w:pPr>
      <w:ind w:left="720"/>
      <w:contextualSpacing w:val="1"/>
    </w:pPr>
  </w:style>
  <w:style w:type="table" w:styleId="TableGrid">
    <w:name w:val="Table Grid"/>
    <w:basedOn w:val="TableNormal"/>
    <w:uiPriority w:val="59"/>
    <w:rsid w:val="005F424A"/>
    <w:rPr>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967D06"/>
    <w:rPr>
      <w:color w:val="0563c1" w:themeColor="hyperlink"/>
      <w:u w:val="single"/>
    </w:rPr>
  </w:style>
  <w:style w:type="character" w:styleId="FollowedHyperlink">
    <w:name w:val="FollowedHyperlink"/>
    <w:basedOn w:val="DefaultParagraphFont"/>
    <w:uiPriority w:val="99"/>
    <w:semiHidden w:val="1"/>
    <w:unhideWhenUsed w:val="1"/>
    <w:rsid w:val="00967D06"/>
    <w:rPr>
      <w:color w:val="954f72" w:themeColor="followedHyperlink"/>
      <w:u w:val="single"/>
    </w:rPr>
  </w:style>
  <w:style w:type="character" w:styleId="UnresolvedMention">
    <w:name w:val="Unresolved Mention"/>
    <w:basedOn w:val="DefaultParagraphFont"/>
    <w:uiPriority w:val="99"/>
    <w:semiHidden w:val="1"/>
    <w:unhideWhenUsed w:val="1"/>
    <w:rsid w:val="001F796C"/>
    <w:rPr>
      <w:color w:val="605e5c"/>
      <w:shd w:color="auto" w:fill="e1dfdd" w:val="clear"/>
    </w:rPr>
  </w:style>
  <w:style w:type="table" w:styleId="TableGrid1" w:customStyle="1">
    <w:name w:val="Table Grid1"/>
    <w:basedOn w:val="TableNormal"/>
    <w:next w:val="TableGrid"/>
    <w:uiPriority w:val="39"/>
    <w:rsid w:val="00E46573"/>
    <w:rPr>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 w:type="table" w:styleId="Table2">
    <w:basedOn w:val="TableNormal"/>
    <w:rPr>
      <w:sz w:val="22"/>
      <w:szCs w:val="22"/>
    </w:rPr>
    <w:tblPr>
      <w:tblStyleRowBandSize w:val="1"/>
      <w:tblStyleColBandSize w:val="1"/>
      <w:tblCellMar>
        <w:top w:w="0.0" w:type="dxa"/>
        <w:left w:w="108.0" w:type="dxa"/>
        <w:bottom w:w="0.0" w:type="dxa"/>
        <w:right w:w="108.0" w:type="dxa"/>
      </w:tblCellMar>
    </w:tblPr>
  </w:style>
  <w:style w:type="table" w:styleId="Table3">
    <w:basedOn w:val="TableNormal"/>
    <w:rPr>
      <w:sz w:val="22"/>
      <w:szCs w:val="22"/>
    </w:rPr>
    <w:tblPr>
      <w:tblStyleRowBandSize w:val="1"/>
      <w:tblStyleColBandSize w:val="1"/>
      <w:tblCellMar>
        <w:top w:w="0.0" w:type="dxa"/>
        <w:left w:w="108.0" w:type="dxa"/>
        <w:bottom w:w="0.0" w:type="dxa"/>
        <w:right w:w="108.0" w:type="dxa"/>
      </w:tblCellMar>
    </w:tblPr>
  </w:style>
  <w:style w:type="table" w:styleId="Table4">
    <w:basedOn w:val="TableNormal"/>
    <w:rPr>
      <w:sz w:val="22"/>
      <w:szCs w:val="22"/>
    </w:rPr>
    <w:tblPr>
      <w:tblStyleRowBandSize w:val="1"/>
      <w:tblStyleColBandSize w:val="1"/>
      <w:tblCellMar>
        <w:top w:w="0.0" w:type="dxa"/>
        <w:left w:w="108.0" w:type="dxa"/>
        <w:bottom w:w="0.0" w:type="dxa"/>
        <w:right w:w="108.0" w:type="dxa"/>
      </w:tblCellMar>
    </w:tblPr>
  </w:style>
  <w:style w:type="table" w:styleId="Table5">
    <w:basedOn w:val="TableNormal"/>
    <w:rPr>
      <w:sz w:val="22"/>
      <w:szCs w:val="22"/>
    </w:rPr>
    <w:tblPr>
      <w:tblStyleRowBandSize w:val="1"/>
      <w:tblStyleColBandSize w:val="1"/>
      <w:tblCellMar>
        <w:top w:w="0.0" w:type="dxa"/>
        <w:left w:w="108.0" w:type="dxa"/>
        <w:bottom w:w="0.0" w:type="dxa"/>
        <w:right w:w="108.0" w:type="dxa"/>
      </w:tblCellMar>
    </w:tblPr>
  </w:style>
  <w:style w:type="table" w:styleId="Table6">
    <w:basedOn w:val="TableNormal"/>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drive.google.com/file/d/15qtYvj1085Y8OHJ8GRkxzRW2w-H_t6FU/view" TargetMode="External"/><Relationship Id="rId9" Type="http://schemas.openxmlformats.org/officeDocument/2006/relationships/hyperlink" Target="https://www.slu.edu/core/faculty-resources/core-student-learning-outcomes.ph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fIeCbgwEj5t8fiyS_C2IhfnJePD5vc1k/view" TargetMode="External"/><Relationship Id="rId8" Type="http://schemas.openxmlformats.org/officeDocument/2006/relationships/hyperlink" Target="https://www.slu.edu/provost/policies/academic-and-course/policy-course-syllabu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abySr/zrRjhRE/xbptxHU/Ed8w==">CgMxLjA4AHIhMXhjUl8zSXdvSGp1cU1qMjlXZHI5ZVFPSkQ2a21YbWU3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2020-09-30T16:39:00Z</dcterms:created>
  <dc:creator>Jamie Zurliene</dc:creator>
</cp:coreProperties>
</file>