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815.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40"/>
        <w:gridCol w:w="9975"/>
        <w:tblGridChange w:id="0">
          <w:tblGrid>
            <w:gridCol w:w="3840"/>
            <w:gridCol w:w="9975"/>
          </w:tblGrid>
        </w:tblGridChange>
      </w:tblGrid>
      <w:tr>
        <w:trPr>
          <w:cantSplit w:val="0"/>
          <w:tblHeader w:val="0"/>
        </w:trPr>
        <w:tc>
          <w:tcPr>
            <w:gridSpan w:val="2"/>
            <w:shd w:fill="d9e2f3" w:val="clear"/>
          </w:tcPr>
          <w:p w:rsidR="00000000" w:rsidDel="00000000" w:rsidP="00000000" w:rsidRDefault="00000000" w:rsidRPr="00000000" w14:paraId="00000002">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4">
            <w:pPr>
              <w:rPr>
                <w:b w:val="1"/>
                <w:color w:val="2e75b5"/>
                <w:sz w:val="28"/>
                <w:szCs w:val="28"/>
              </w:rPr>
            </w:pPr>
            <w:r w:rsidDel="00000000" w:rsidR="00000000" w:rsidRPr="00000000">
              <w:rPr>
                <w:b w:val="1"/>
                <w:color w:val="2e75b5"/>
                <w:sz w:val="28"/>
                <w:szCs w:val="28"/>
                <w:rtl w:val="0"/>
              </w:rPr>
              <w:t xml:space="preserve">Course Submitted</w:t>
            </w:r>
          </w:p>
          <w:p w:rsidR="00000000" w:rsidDel="00000000" w:rsidP="00000000" w:rsidRDefault="00000000" w:rsidRPr="00000000" w14:paraId="00000005">
            <w:pPr>
              <w:rPr>
                <w:b w:val="1"/>
                <w:color w:val="2e75b5"/>
                <w:sz w:val="28"/>
                <w:szCs w:val="28"/>
              </w:rPr>
            </w:pPr>
            <w:r w:rsidDel="00000000" w:rsidR="00000000" w:rsidRPr="00000000">
              <w:rPr>
                <w:b w:val="1"/>
                <w:color w:val="2e75b5"/>
                <w:sz w:val="28"/>
                <w:szCs w:val="28"/>
                <w:rtl w:val="0"/>
              </w:rPr>
              <w:t xml:space="preserve">(Subject/Number/Title)</w:t>
            </w:r>
          </w:p>
          <w:p w:rsidR="00000000" w:rsidDel="00000000" w:rsidP="00000000" w:rsidRDefault="00000000" w:rsidRPr="00000000" w14:paraId="00000006">
            <w:pPr>
              <w:rPr>
                <w:b w:val="1"/>
                <w:color w:val="2e75b5"/>
                <w:sz w:val="28"/>
                <w:szCs w:val="28"/>
              </w:rPr>
            </w:pPr>
            <w:r w:rsidDel="00000000" w:rsidR="00000000" w:rsidRPr="00000000">
              <w:rPr>
                <w:rtl w:val="0"/>
              </w:rPr>
            </w:r>
          </w:p>
        </w:tc>
        <w:tc>
          <w:tcPr/>
          <w:p w:rsidR="00000000" w:rsidDel="00000000" w:rsidP="00000000" w:rsidRDefault="00000000" w:rsidRPr="00000000" w14:paraId="00000007">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8">
            <w:pPr>
              <w:rPr>
                <w:b w:val="1"/>
                <w:color w:val="2e75b5"/>
                <w:sz w:val="28"/>
                <w:szCs w:val="28"/>
              </w:rPr>
            </w:pPr>
            <w:r w:rsidDel="00000000" w:rsidR="00000000" w:rsidRPr="00000000">
              <w:rPr>
                <w:b w:val="1"/>
                <w:color w:val="2e75b5"/>
                <w:sz w:val="28"/>
                <w:szCs w:val="28"/>
                <w:rtl w:val="0"/>
              </w:rPr>
              <w:t xml:space="preserve">Submitted by</w:t>
            </w:r>
          </w:p>
          <w:p w:rsidR="00000000" w:rsidDel="00000000" w:rsidP="00000000" w:rsidRDefault="00000000" w:rsidRPr="00000000" w14:paraId="00000009">
            <w:pPr>
              <w:rPr>
                <w:b w:val="1"/>
                <w:color w:val="2e75b5"/>
                <w:sz w:val="28"/>
                <w:szCs w:val="28"/>
              </w:rPr>
            </w:pPr>
            <w:r w:rsidDel="00000000" w:rsidR="00000000" w:rsidRPr="00000000">
              <w:rPr>
                <w:b w:val="1"/>
                <w:color w:val="2e75b5"/>
                <w:sz w:val="28"/>
                <w:szCs w:val="28"/>
                <w:rtl w:val="0"/>
              </w:rPr>
              <w:t xml:space="preserve">(Name/Department)</w:t>
            </w:r>
          </w:p>
          <w:p w:rsidR="00000000" w:rsidDel="00000000" w:rsidP="00000000" w:rsidRDefault="00000000" w:rsidRPr="00000000" w14:paraId="0000000A">
            <w:pPr>
              <w:rPr>
                <w:b w:val="1"/>
                <w:color w:val="2e75b5"/>
                <w:sz w:val="28"/>
                <w:szCs w:val="28"/>
              </w:rPr>
            </w:pPr>
            <w:r w:rsidDel="00000000" w:rsidR="00000000" w:rsidRPr="00000000">
              <w:rPr>
                <w:rtl w:val="0"/>
              </w:rPr>
            </w:r>
          </w:p>
        </w:tc>
        <w:tc>
          <w:tcPr/>
          <w:p w:rsidR="00000000" w:rsidDel="00000000" w:rsidP="00000000" w:rsidRDefault="00000000" w:rsidRPr="00000000" w14:paraId="0000000B">
            <w:pPr>
              <w:rPr>
                <w:sz w:val="28"/>
                <w:szCs w:val="28"/>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0C">
            <w:pPr>
              <w:rPr>
                <w:b w:val="1"/>
                <w:color w:val="2e75b5"/>
                <w:sz w:val="28"/>
                <w:szCs w:val="28"/>
              </w:rPr>
            </w:pPr>
            <w:r w:rsidDel="00000000" w:rsidR="00000000" w:rsidRPr="00000000">
              <w:rPr>
                <w:b w:val="1"/>
                <w:color w:val="2e75b5"/>
                <w:sz w:val="28"/>
                <w:szCs w:val="28"/>
                <w:rtl w:val="0"/>
              </w:rPr>
              <w:t xml:space="preserve">Department/Unit Oversight Note</w:t>
            </w:r>
          </w:p>
        </w:tc>
        <w:tc>
          <w:tcPr/>
          <w:p w:rsidR="00000000" w:rsidDel="00000000" w:rsidP="00000000" w:rsidRDefault="00000000" w:rsidRPr="00000000" w14:paraId="0000000D">
            <w:pPr>
              <w:rPr>
                <w:color w:val="2e75b5"/>
                <w:sz w:val="20"/>
                <w:szCs w:val="20"/>
              </w:rPr>
            </w:pPr>
            <w:r w:rsidDel="00000000" w:rsidR="00000000" w:rsidRPr="00000000">
              <w:rPr>
                <w:color w:val="2e75b5"/>
                <w:sz w:val="20"/>
                <w:szCs w:val="20"/>
                <w:rtl w:val="0"/>
              </w:rPr>
              <w:t xml:space="preserve">It is the responsibility of the department or unit (1) to keep a copy of this finalized worksheet together with the approved sample syllabus and/or syllabus template and (2) to pass along all relevant documents to additional instructors who will teach the course in the future.</w:t>
            </w:r>
          </w:p>
          <w:p w:rsidR="00000000" w:rsidDel="00000000" w:rsidP="00000000" w:rsidRDefault="00000000" w:rsidRPr="00000000" w14:paraId="0000000E">
            <w:pPr>
              <w:tabs>
                <w:tab w:val="left" w:leader="none" w:pos="6660"/>
              </w:tabs>
              <w:spacing w:after="40" w:before="40" w:lineRule="auto"/>
              <w:ind w:left="360" w:firstLine="0"/>
              <w:rPr>
                <w:sz w:val="28"/>
                <w:szCs w:val="28"/>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you, as an instructor within a department or unit, understand and have confirmed that your supervisor is aware of this Core request stated above.</w:t>
            </w: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tbl>
      <w:tblPr>
        <w:tblStyle w:val="Table2"/>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312"/>
        <w:gridCol w:w="7054"/>
        <w:gridCol w:w="2599"/>
        <w:tblGridChange w:id="0">
          <w:tblGrid>
            <w:gridCol w:w="3859"/>
            <w:gridCol w:w="312"/>
            <w:gridCol w:w="7054"/>
            <w:gridCol w:w="2599"/>
          </w:tblGrid>
        </w:tblGridChange>
      </w:tblGrid>
      <w:tr>
        <w:trPr>
          <w:cantSplit w:val="0"/>
          <w:tblHeader w:val="0"/>
        </w:trPr>
        <w:tc>
          <w:tcPr>
            <w:gridSpan w:val="3"/>
            <w:tcBorders>
              <w:bottom w:color="000000" w:space="0" w:sz="4" w:val="single"/>
              <w:right w:color="000000" w:space="0" w:sz="0" w:val="nil"/>
            </w:tcBorders>
            <w:shd w:fill="d9e2f3" w:val="clear"/>
          </w:tcPr>
          <w:p w:rsidR="00000000" w:rsidDel="00000000" w:rsidP="00000000" w:rsidRDefault="00000000" w:rsidRPr="00000000" w14:paraId="00000011">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Ways of Thinking:  Social and Behavioral Sciences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14">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Requirement</w:t>
            </w:r>
            <w:r w:rsidDel="00000000" w:rsidR="00000000" w:rsidRPr="00000000">
              <w:rPr>
                <w:rtl w:val="0"/>
              </w:rPr>
            </w:r>
          </w:p>
        </w:tc>
      </w:tr>
      <w:tr>
        <w:trPr>
          <w:cantSplit w:val="0"/>
          <w:tblHeader w:val="0"/>
        </w:trPr>
        <w:tc>
          <w:tcPr>
            <w:gridSpan w:val="2"/>
            <w:tcBorders>
              <w:top w:color="000000" w:space="0" w:sz="4" w:val="single"/>
              <w:right w:color="000000" w:space="0" w:sz="0" w:val="nil"/>
            </w:tcBorders>
            <w:shd w:fill="2e75b5" w:val="clear"/>
          </w:tcPr>
          <w:p w:rsidR="00000000" w:rsidDel="00000000" w:rsidP="00000000" w:rsidRDefault="00000000" w:rsidRPr="00000000" w14:paraId="00000015">
            <w:pPr>
              <w:tabs>
                <w:tab w:val="left" w:leader="none" w:pos="6660"/>
              </w:tabs>
              <w:spacing w:after="40" w:before="40" w:lineRule="auto"/>
              <w:rPr>
                <w:b w:val="1"/>
                <w:color w:val="ffffff"/>
                <w:sz w:val="20"/>
                <w:szCs w:val="20"/>
              </w:rPr>
            </w:pPr>
            <w:r w:rsidDel="00000000" w:rsidR="00000000" w:rsidRPr="00000000">
              <w:rPr>
                <w:rtl w:val="0"/>
              </w:rPr>
            </w:r>
          </w:p>
        </w:tc>
        <w:tc>
          <w:tcPr>
            <w:gridSpan w:val="2"/>
            <w:tcBorders>
              <w:top w:color="000000" w:space="0" w:sz="4" w:val="single"/>
              <w:left w:color="000000" w:space="0" w:sz="0" w:val="nil"/>
            </w:tcBorders>
            <w:shd w:fill="2e75b5" w:val="clear"/>
          </w:tcPr>
          <w:p w:rsidR="00000000" w:rsidDel="00000000" w:rsidP="00000000" w:rsidRDefault="00000000" w:rsidRPr="00000000" w14:paraId="00000017">
            <w:pPr>
              <w:tabs>
                <w:tab w:val="left" w:leader="none" w:pos="6660"/>
              </w:tabs>
              <w:spacing w:after="40" w:before="40" w:lineRule="auto"/>
              <w:rPr>
                <w:b w:val="1"/>
                <w:color w:val="ffffff"/>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9">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title</w:t>
            </w:r>
          </w:p>
        </w:tc>
        <w:tc>
          <w:tcPr>
            <w:gridSpan w:val="3"/>
            <w:shd w:fill="d9e2f3" w:val="clear"/>
          </w:tcPr>
          <w:p w:rsidR="00000000" w:rsidDel="00000000" w:rsidP="00000000" w:rsidRDefault="00000000" w:rsidRPr="00000000" w14:paraId="0000001A">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f5496"/>
                <w:sz w:val="20"/>
                <w:szCs w:val="20"/>
                <w:rtl w:val="0"/>
              </w:rPr>
              <w:t xml:space="preserve">Varies</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1D">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Minimum credit hours</w:t>
            </w:r>
          </w:p>
        </w:tc>
        <w:tc>
          <w:tcPr>
            <w:gridSpan w:val="3"/>
            <w:shd w:fill="d9e2f3" w:val="clear"/>
          </w:tcPr>
          <w:p w:rsidR="00000000" w:rsidDel="00000000" w:rsidP="00000000" w:rsidRDefault="00000000" w:rsidRPr="00000000" w14:paraId="0000001E">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3</w:t>
            </w:r>
          </w:p>
        </w:tc>
      </w:tr>
      <w:tr>
        <w:trPr>
          <w:cantSplit w:val="0"/>
          <w:tblHeader w:val="0"/>
        </w:trPr>
        <w:tc>
          <w:tcPr>
            <w:shd w:fill="d9e2f3" w:val="clear"/>
          </w:tcPr>
          <w:p w:rsidR="00000000" w:rsidDel="00000000" w:rsidP="00000000" w:rsidRDefault="00000000" w:rsidRPr="00000000" w14:paraId="00000021">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Core-specific pre- and co-requisites / requirements</w:t>
            </w:r>
          </w:p>
        </w:tc>
        <w:tc>
          <w:tcPr>
            <w:gridSpan w:val="3"/>
            <w:shd w:fill="d9e2f3" w:val="clear"/>
          </w:tcPr>
          <w:p w:rsidR="00000000" w:rsidDel="00000000" w:rsidP="00000000" w:rsidRDefault="00000000" w:rsidRPr="00000000" w14:paraId="00000022">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f5496"/>
                <w:sz w:val="20"/>
                <w:szCs w:val="20"/>
                <w:rtl w:val="0"/>
              </w:rPr>
              <w:t xml:space="preserve">N/A</w:t>
            </w: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25">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Core component summary</w:t>
            </w:r>
          </w:p>
        </w:tc>
        <w:tc>
          <w:tcPr>
            <w:gridSpan w:val="3"/>
            <w:shd w:fill="d9e2f3" w:val="clear"/>
          </w:tcPr>
          <w:p w:rsidR="00000000" w:rsidDel="00000000" w:rsidP="00000000" w:rsidRDefault="00000000" w:rsidRPr="00000000" w14:paraId="00000026">
            <w:pPr>
              <w:tabs>
                <w:tab w:val="left" w:leader="none" w:pos="6660"/>
              </w:tabs>
              <w:spacing w:after="40" w:before="40" w:lineRule="auto"/>
              <w:rPr>
                <w:color w:val="2e75b5"/>
                <w:sz w:val="20"/>
                <w:szCs w:val="20"/>
              </w:rPr>
            </w:pPr>
            <w:r w:rsidDel="00000000" w:rsidR="00000000" w:rsidRPr="00000000">
              <w:rPr>
                <w:rFonts w:ascii="Calibri" w:cs="Calibri" w:eastAsia="Calibri" w:hAnsi="Calibri"/>
                <w:color w:val="2f5496"/>
                <w:sz w:val="20"/>
                <w:szCs w:val="20"/>
                <w:rtl w:val="0"/>
              </w:rPr>
              <w:t xml:space="preserve">Courses that satisfy the Social and Behavioral Sciences requirement develop students’ ability to systematically study society, culture, individuals, institutions, and/or communication. In these courses, students are asked to consider the diversity of social, political, and civic life. Students will be given the tools to draw reasoned conclusions about the complexity of real-world challenges experienced by individuals or groups, locally, nationally, and / or globally.</w:t>
            </w:r>
            <w:r w:rsidDel="00000000" w:rsidR="00000000" w:rsidRPr="00000000">
              <w:rPr>
                <w:rtl w:val="0"/>
              </w:rPr>
            </w:r>
          </w:p>
        </w:tc>
      </w:tr>
      <w:tr>
        <w:trPr>
          <w:cantSplit w:val="0"/>
          <w:trHeight w:val="746" w:hRule="atLeast"/>
          <w:tblHeader w:val="0"/>
        </w:trPr>
        <w:tc>
          <w:tcPr>
            <w:tcBorders>
              <w:bottom w:color="000000" w:space="0" w:sz="4" w:val="single"/>
            </w:tcBorders>
            <w:shd w:fill="d9e2f3" w:val="clear"/>
          </w:tcPr>
          <w:p w:rsidR="00000000" w:rsidDel="00000000" w:rsidP="00000000" w:rsidRDefault="00000000" w:rsidRPr="00000000" w14:paraId="00000029">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Notes</w:t>
            </w:r>
          </w:p>
        </w:tc>
        <w:tc>
          <w:tcPr>
            <w:gridSpan w:val="3"/>
            <w:tcBorders>
              <w:bottom w:color="000000" w:space="0" w:sz="4" w:val="single"/>
            </w:tcBorders>
            <w:shd w:fill="d9e2f3" w:val="clear"/>
          </w:tcPr>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6660"/>
              </w:tabs>
              <w:spacing w:after="0" w:before="4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Courses that fulfill this requirement develop students’ ability to engage in the methods of interpretation central but not limited to social and behavioral sciences, linguistics, many interdisciplinary fields, and professional programs such as Social Work and Education </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Courses that meet the learning outcomes and essential criteria for this component may be submitted from any department or program</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b w:val="1"/>
          <w:color w:val="2e75b5"/>
          <w:rtl w:val="0"/>
        </w:rPr>
        <w:t xml:space="preserve">All courses approved to count for University Core requirements must include both course-level and Core-level student learning outcomes on their syllabi.  Please follow this link for mandatory syllabus material to be incorporated into your syllabus:  </w:t>
      </w:r>
      <w:r w:rsidDel="00000000" w:rsidR="00000000" w:rsidRPr="00000000">
        <w:rPr>
          <w:rtl w:val="0"/>
        </w:rPr>
      </w:r>
    </w:p>
    <w:p w:rsidR="00000000" w:rsidDel="00000000" w:rsidP="00000000" w:rsidRDefault="00000000" w:rsidRPr="00000000" w14:paraId="00000030">
      <w:pPr>
        <w:spacing w:line="360" w:lineRule="auto"/>
        <w:jc w:val="center"/>
        <w:rPr>
          <w:b w:val="1"/>
          <w:sz w:val="28"/>
          <w:szCs w:val="28"/>
          <w:u w:val="single"/>
        </w:rPr>
      </w:pPr>
      <w:hyperlink r:id="rId7">
        <w:r w:rsidDel="00000000" w:rsidR="00000000" w:rsidRPr="00000000">
          <w:rPr>
            <w:b w:val="1"/>
            <w:color w:val="1155cc"/>
            <w:sz w:val="26"/>
            <w:szCs w:val="26"/>
            <w:u w:val="single"/>
            <w:rtl w:val="0"/>
          </w:rPr>
          <w:t xml:space="preserve">Mandatory Syllabus Material for University Core Courses/Experiences</w:t>
        </w:r>
      </w:hyperlink>
      <w:r w:rsidDel="00000000" w:rsidR="00000000" w:rsidRPr="00000000">
        <w:rPr>
          <w:rtl w:val="0"/>
        </w:rPr>
      </w:r>
    </w:p>
    <w:p w:rsidR="00000000" w:rsidDel="00000000" w:rsidP="00000000" w:rsidRDefault="00000000" w:rsidRPr="00000000" w14:paraId="00000031">
      <w:pPr>
        <w:spacing w:line="360" w:lineRule="auto"/>
        <w:rPr/>
      </w:pPr>
      <w:r w:rsidDel="00000000" w:rsidR="00000000" w:rsidRPr="00000000">
        <w:rPr>
          <w:rtl w:val="0"/>
        </w:rPr>
        <w:t xml:space="preserve">The Saint Louis University Core is an academic program intentionally structured to facilitate student achievement of both holistic and component-level student learning outcomes (SLOs). </w:t>
      </w:r>
      <w:hyperlink r:id="rId8">
        <w:r w:rsidDel="00000000" w:rsidR="00000000" w:rsidRPr="00000000">
          <w:rPr>
            <w:color w:val="0563c1"/>
            <w:u w:val="single"/>
            <w:rtl w:val="0"/>
          </w:rPr>
          <w:t xml:space="preserve">SLU’s Course Syllabus Policy</w:t>
        </w:r>
      </w:hyperlink>
      <w:r w:rsidDel="00000000" w:rsidR="00000000" w:rsidRPr="00000000">
        <w:rPr>
          <w:rtl w:val="0"/>
        </w:rPr>
        <w:t xml:space="preserve"> requires that learning outcomes appear on all syllabi. Below, you will find a table with the University Core and Core Component SLOs indicated. Please copy the boilerplate below and insert it into the syllabus you upload to CourseLeaf for review by the University Undergraduate Core Committee (UUCC). </w:t>
      </w:r>
    </w:p>
    <w:p w:rsidR="00000000" w:rsidDel="00000000" w:rsidP="00000000" w:rsidRDefault="00000000" w:rsidRPr="00000000" w14:paraId="00000032">
      <w:pPr>
        <w:pBdr>
          <w:bottom w:color="000000" w:space="1" w:sz="12" w:val="single"/>
        </w:pBdr>
        <w:spacing w:line="360" w:lineRule="auto"/>
        <w:rPr/>
      </w:pPr>
      <w:r w:rsidDel="00000000" w:rsidR="00000000" w:rsidRPr="00000000">
        <w:rPr>
          <w:rtl w:val="0"/>
        </w:rPr>
        <w:t xml:space="preserve">**Please note: If this course meets more than one Core Component Area requirement, please modify accordingly</w:t>
      </w:r>
    </w:p>
    <w:p w:rsidR="00000000" w:rsidDel="00000000" w:rsidP="00000000" w:rsidRDefault="00000000" w:rsidRPr="00000000" w14:paraId="00000033">
      <w:pPr>
        <w:spacing w:line="360" w:lineRule="auto"/>
        <w:rPr>
          <w:b w:val="1"/>
        </w:rPr>
      </w:pPr>
      <w:r w:rsidDel="00000000" w:rsidR="00000000" w:rsidRPr="00000000">
        <w:rPr>
          <w:b w:val="1"/>
          <w:rtl w:val="0"/>
        </w:rPr>
        <w:t xml:space="preserve">Ways of Thinking: Social and Behavioral Sciences</w:t>
      </w:r>
    </w:p>
    <w:p w:rsidR="00000000" w:rsidDel="00000000" w:rsidP="00000000" w:rsidRDefault="00000000" w:rsidRPr="00000000" w14:paraId="00000034">
      <w:pPr>
        <w:spacing w:line="360" w:lineRule="auto"/>
        <w:rPr/>
      </w:pPr>
      <w:r w:rsidDel="00000000" w:rsidR="00000000" w:rsidRPr="00000000">
        <w:rPr>
          <w:rtl w:val="0"/>
        </w:rPr>
        <w:t xml:space="preserve">This course is part of the Saint Louis University Core, an integrated intellectual experience completed by all baccalaureate students, regardless of major, program, college, school or campus. The Core offers all SLU students the same unified approach to Jesuit education guided by SLU’s institutional mission and identity and our nine undergraduate </w:t>
      </w:r>
      <w:hyperlink r:id="rId9">
        <w:r w:rsidDel="00000000" w:rsidR="00000000" w:rsidRPr="00000000">
          <w:rPr>
            <w:color w:val="0563c1"/>
            <w:u w:val="single"/>
            <w:rtl w:val="0"/>
          </w:rPr>
          <w:t xml:space="preserve">Core Student Learning Outcomes</w:t>
        </w:r>
      </w:hyperlink>
      <w:r w:rsidDel="00000000" w:rsidR="00000000" w:rsidRPr="00000000">
        <w:rPr>
          <w:rtl w:val="0"/>
        </w:rPr>
        <w:t xml:space="preserve"> (SLOs). </w:t>
      </w:r>
    </w:p>
    <w:tbl>
      <w:tblPr>
        <w:tblStyle w:val="Table3"/>
        <w:tblW w:w="136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95"/>
        <w:tblGridChange w:id="0">
          <w:tblGrid>
            <w:gridCol w:w="13695"/>
          </w:tblGrid>
        </w:tblGridChange>
      </w:tblGrid>
      <w:tr>
        <w:trPr>
          <w:cantSplit w:val="0"/>
          <w:tblHeader w:val="0"/>
        </w:trPr>
        <w:tc>
          <w:tcPr>
            <w:shd w:fill="d0cece" w:val="clear"/>
          </w:tcPr>
          <w:p w:rsidR="00000000" w:rsidDel="00000000" w:rsidP="00000000" w:rsidRDefault="00000000" w:rsidRPr="00000000" w14:paraId="00000035">
            <w:pPr>
              <w:rPr/>
            </w:pPr>
            <w:r w:rsidDel="00000000" w:rsidR="00000000" w:rsidRPr="00000000">
              <w:rPr>
                <w:b w:val="1"/>
                <w:rtl w:val="0"/>
              </w:rPr>
              <w:t xml:space="preserve">Ways of Thinking: Social and Behavioral Sciences </w:t>
            </w:r>
            <w:r w:rsidDel="00000000" w:rsidR="00000000" w:rsidRPr="00000000">
              <w:rPr>
                <w:shd w:fill="d0cece" w:val="clear"/>
                <w:rtl w:val="0"/>
              </w:rPr>
              <w:t xml:space="preserve">is one of 19 Core Components. The University Core SLO(s) that this component is designed to intentionally advance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6">
            <w:pPr>
              <w:rPr>
                <w:b w:val="1"/>
              </w:rPr>
            </w:pPr>
            <w:r w:rsidDel="00000000" w:rsidR="00000000" w:rsidRPr="00000000">
              <w:rPr>
                <w:b w:val="1"/>
                <w:rtl w:val="0"/>
              </w:rPr>
              <w:t xml:space="preserve">University Core Student Learning Outcomes</w:t>
            </w:r>
          </w:p>
          <w:p w:rsidR="00000000" w:rsidDel="00000000" w:rsidP="00000000" w:rsidRDefault="00000000" w:rsidRPr="00000000" w14:paraId="00000037">
            <w:pPr>
              <w:rPr/>
            </w:pPr>
            <w:r w:rsidDel="00000000" w:rsidR="00000000" w:rsidRPr="00000000">
              <w:rPr>
                <w:rtl w:val="0"/>
              </w:rPr>
              <w:t xml:space="preserve">The Core SLO(s) that this component is intentionally designed to advance are: </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SLO 2: Integrate knowledge from multiple disciplines to address complex questions</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SLO 3: Assess evidence and draw reasoned conclusions</w:t>
            </w:r>
          </w:p>
        </w:tc>
      </w:tr>
    </w:tbl>
    <w:p w:rsidR="00000000" w:rsidDel="00000000" w:rsidP="00000000" w:rsidRDefault="00000000" w:rsidRPr="00000000" w14:paraId="0000003A">
      <w:pPr>
        <w:rPr>
          <w:b w:val="1"/>
          <w:sz w:val="24"/>
          <w:szCs w:val="24"/>
          <w:u w:val="single"/>
        </w:rPr>
      </w:pPr>
      <w:r w:rsidDel="00000000" w:rsidR="00000000" w:rsidRPr="00000000">
        <w:rPr>
          <w:rtl w:val="0"/>
        </w:rPr>
      </w:r>
    </w:p>
    <w:sdt>
      <w:sdtPr>
        <w:lock w:val="contentLocked"/>
        <w:tag w:val="goog_rdk_0"/>
      </w:sdtPr>
      <w:sdtContent>
        <w:tbl>
          <w:tblPr>
            <w:tblStyle w:val="Table4"/>
            <w:tblW w:w="13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0"/>
            <w:tblGridChange w:id="0">
              <w:tblGrid>
                <w:gridCol w:w="13680"/>
              </w:tblGrid>
            </w:tblGridChange>
          </w:tblGrid>
          <w:tr>
            <w:trPr>
              <w:cantSplit w:val="0"/>
              <w:tblHeader w:val="0"/>
            </w:trPr>
            <w:tc>
              <w:tcPr>
                <w:shd w:fill="d0cece" w:val="clear"/>
              </w:tcPr>
              <w:p w:rsidR="00000000" w:rsidDel="00000000" w:rsidP="00000000" w:rsidRDefault="00000000" w:rsidRPr="00000000" w14:paraId="0000003B">
                <w:pPr>
                  <w:rPr>
                    <w:b w:val="1"/>
                  </w:rPr>
                </w:pPr>
                <w:r w:rsidDel="00000000" w:rsidR="00000000" w:rsidRPr="00000000">
                  <w:rPr>
                    <w:shd w:fill="d0cece" w:val="clear"/>
                    <w:rtl w:val="0"/>
                  </w:rPr>
                  <w:t xml:space="preserve">Add</w:t>
                </w:r>
                <w:r w:rsidDel="00000000" w:rsidR="00000000" w:rsidRPr="00000000">
                  <w:rPr>
                    <w:rtl w:val="0"/>
                  </w:rPr>
                  <w:t xml:space="preserve">itionally, the Core Component-level Student Learning Outcomes are listed below:</w:t>
                </w: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3C">
                <w:pPr>
                  <w:rPr>
                    <w:b w:val="1"/>
                  </w:rPr>
                </w:pPr>
                <w:r w:rsidDel="00000000" w:rsidR="00000000" w:rsidRPr="00000000">
                  <w:rPr>
                    <w:b w:val="1"/>
                    <w:rtl w:val="0"/>
                  </w:rPr>
                  <w:t xml:space="preserve">Component-level Student Learning Outcomes</w:t>
                </w:r>
              </w:p>
              <w:p w:rsidR="00000000" w:rsidDel="00000000" w:rsidP="00000000" w:rsidRDefault="00000000" w:rsidRPr="00000000" w14:paraId="0000003D">
                <w:pPr>
                  <w:rPr/>
                </w:pPr>
                <w:r w:rsidDel="00000000" w:rsidR="00000000" w:rsidRPr="00000000">
                  <w:rPr>
                    <w:rtl w:val="0"/>
                  </w:rPr>
                  <w:t xml:space="preserve">Students who complete this course will be able to:</w:t>
                </w:r>
              </w:p>
            </w:tc>
          </w:tr>
          <w:tr>
            <w:trPr>
              <w:cantSplit w:val="0"/>
              <w:tblHeader w:val="0"/>
            </w:trPr>
            <w:tc>
              <w:tcPr/>
              <w:p w:rsidR="00000000" w:rsidDel="00000000" w:rsidP="00000000" w:rsidRDefault="00000000" w:rsidRPr="00000000" w14:paraId="0000003E">
                <w:pPr>
                  <w:numPr>
                    <w:ilvl w:val="0"/>
                    <w:numId w:val="3"/>
                  </w:numPr>
                  <w:ind w:left="360"/>
                  <w:rPr>
                    <w:rFonts w:ascii="Calibri" w:cs="Calibri" w:eastAsia="Calibri" w:hAnsi="Calibri"/>
                  </w:rPr>
                </w:pPr>
                <w:r w:rsidDel="00000000" w:rsidR="00000000" w:rsidRPr="00000000">
                  <w:rPr>
                    <w:rtl w:val="0"/>
                  </w:rPr>
                  <w:t xml:space="preserve">Understand a range of social or behavioral theories and principles</w:t>
                </w:r>
              </w:p>
            </w:tc>
          </w:tr>
          <w:tr>
            <w:trPr>
              <w:cantSplit w:val="0"/>
              <w:tblHeader w:val="0"/>
            </w:trPr>
            <w:tc>
              <w:tcPr/>
              <w:p w:rsidR="00000000" w:rsidDel="00000000" w:rsidP="00000000" w:rsidRDefault="00000000" w:rsidRPr="00000000" w14:paraId="0000003F">
                <w:pPr>
                  <w:numPr>
                    <w:ilvl w:val="0"/>
                    <w:numId w:val="3"/>
                  </w:numPr>
                  <w:ind w:left="360"/>
                  <w:rPr>
                    <w:rFonts w:ascii="Calibri" w:cs="Calibri" w:eastAsia="Calibri" w:hAnsi="Calibri"/>
                  </w:rPr>
                </w:pPr>
                <w:r w:rsidDel="00000000" w:rsidR="00000000" w:rsidRPr="00000000">
                  <w:rPr>
                    <w:rtl w:val="0"/>
                  </w:rPr>
                  <w:t xml:space="preserve">Use these theories and principles to acquire knowledge about individual, cultural, political, economic, or social events/processes</w:t>
                </w:r>
              </w:p>
            </w:tc>
          </w:tr>
          <w:tr>
            <w:trPr>
              <w:cantSplit w:val="0"/>
              <w:tblHeader w:val="0"/>
            </w:trPr>
            <w:tc>
              <w:tcPr/>
              <w:p w:rsidR="00000000" w:rsidDel="00000000" w:rsidP="00000000" w:rsidRDefault="00000000" w:rsidRPr="00000000" w14:paraId="00000040">
                <w:pPr>
                  <w:numPr>
                    <w:ilvl w:val="0"/>
                    <w:numId w:val="1"/>
                  </w:numPr>
                  <w:ind w:left="330"/>
                </w:pPr>
                <w:r w:rsidDel="00000000" w:rsidR="00000000" w:rsidRPr="00000000">
                  <w:rPr>
                    <w:rtl w:val="0"/>
                  </w:rPr>
                  <w:t xml:space="preserve">Describe competing paradigms of knowledge (from the dominant discipline or field)</w:t>
                </w:r>
              </w:p>
            </w:tc>
          </w:tr>
          <w:tr>
            <w:trPr>
              <w:cantSplit w:val="0"/>
              <w:tblHeader w:val="0"/>
            </w:trPr>
            <w:tc>
              <w:tcPr/>
              <w:p w:rsidR="00000000" w:rsidDel="00000000" w:rsidP="00000000" w:rsidRDefault="00000000" w:rsidRPr="00000000" w14:paraId="00000041">
                <w:pPr>
                  <w:numPr>
                    <w:ilvl w:val="0"/>
                    <w:numId w:val="1"/>
                  </w:numPr>
                  <w:ind w:left="330"/>
                </w:pPr>
                <w:r w:rsidDel="00000000" w:rsidR="00000000" w:rsidRPr="00000000">
                  <w:rPr>
                    <w:rtl w:val="0"/>
                  </w:rPr>
                  <w:t xml:space="preserve">Draw reasoned conclusions through the use of evidence and theories</w:t>
                </w:r>
              </w:p>
            </w:tc>
          </w:tr>
          <w:tr>
            <w:trPr>
              <w:cantSplit w:val="0"/>
              <w:tblHeader w:val="0"/>
            </w:trPr>
            <w:tc>
              <w:tcPr/>
              <w:p w:rsidR="00000000" w:rsidDel="00000000" w:rsidP="00000000" w:rsidRDefault="00000000" w:rsidRPr="00000000" w14:paraId="00000042">
                <w:pPr>
                  <w:numPr>
                    <w:ilvl w:val="0"/>
                    <w:numId w:val="1"/>
                  </w:numPr>
                  <w:ind w:left="330"/>
                </w:pPr>
                <w:r w:rsidDel="00000000" w:rsidR="00000000" w:rsidRPr="00000000">
                  <w:rPr>
                    <w:rtl w:val="0"/>
                  </w:rPr>
                  <w:t xml:space="preserve">Apply social and behavioral knowledge to better understand contemporary issues and challenges</w:t>
                </w:r>
              </w:p>
            </w:tc>
          </w:tr>
        </w:tbl>
      </w:sdtContent>
    </w:sdt>
    <w:p w:rsidR="00000000" w:rsidDel="00000000" w:rsidP="00000000" w:rsidRDefault="00000000" w:rsidRPr="00000000" w14:paraId="00000043">
      <w:pPr>
        <w:rPr/>
      </w:pPr>
      <w:r w:rsidDel="00000000" w:rsidR="00000000" w:rsidRPr="00000000">
        <w:rPr>
          <w:rtl w:val="0"/>
        </w:rPr>
      </w:r>
    </w:p>
    <w:tbl>
      <w:tblPr>
        <w:tblStyle w:val="Table5"/>
        <w:tblW w:w="13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7365"/>
        <w:gridCol w:w="2460"/>
        <w:tblGridChange w:id="0">
          <w:tblGrid>
            <w:gridCol w:w="3855"/>
            <w:gridCol w:w="7365"/>
            <w:gridCol w:w="2460"/>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44">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Component Learning Outcomes</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46">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shd w:fill="d9e2f3" w:val="clear"/>
          </w:tcPr>
          <w:p w:rsidR="00000000" w:rsidDel="00000000" w:rsidP="00000000" w:rsidRDefault="00000000" w:rsidRPr="00000000" w14:paraId="00000047">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Below, you will find listed the 5 course-level student learning outcomes associated with this Core component area.</w:t>
            </w:r>
          </w:p>
          <w:p w:rsidR="00000000" w:rsidDel="00000000" w:rsidP="00000000" w:rsidRDefault="00000000" w:rsidRPr="00000000" w14:paraId="00000048">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49">
            <w:pPr>
              <w:tabs>
                <w:tab w:val="left" w:leader="none" w:pos="6660"/>
              </w:tabs>
              <w:spacing w:after="40" w:before="40" w:lineRule="auto"/>
              <w:rPr>
                <w:b w:val="1"/>
                <w:i w:val="1"/>
                <w:color w:val="2e75b5"/>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outcomes.</w:t>
            </w:r>
          </w:p>
        </w:tc>
      </w:tr>
      <w:tr>
        <w:trPr>
          <w:cantSplit w:val="0"/>
          <w:trHeight w:val="1232" w:hRule="atLeast"/>
          <w:tblHeader w:val="0"/>
        </w:trPr>
        <w:tc>
          <w:tcPr>
            <w:shd w:fill="d9e2f3" w:val="clear"/>
          </w:tcPr>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understand a range of social or behavioral theories and principles</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4D">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4F">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you ensure that this course teaches students about—and requires students to engage in—the different ways of thinking through which scholars’ study social and/ or behavioral data and phenomena?</w:t>
            </w:r>
          </w:p>
        </w:tc>
      </w:tr>
      <w:tr>
        <w:trPr>
          <w:cantSplit w:val="0"/>
          <w:trHeight w:val="1763" w:hRule="atLeast"/>
          <w:tblHeader w:val="0"/>
        </w:trPr>
        <w:tc>
          <w:tcPr>
            <w:shd w:fill="d9e2f3" w:val="clear"/>
          </w:tcPr>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use these theories and principles to acquire knowledge about individual, cultural, political, economic, or social events/processes</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3">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55">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describe competing paradigms of knowledge (from the dominant discipline or field)</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9">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5B">
            <w:pPr>
              <w:tabs>
                <w:tab w:val="left" w:leader="none" w:pos="6660"/>
              </w:tabs>
              <w:spacing w:after="40" w:before="40" w:lineRule="auto"/>
              <w:ind w:left="0" w:firstLine="0"/>
              <w:rPr>
                <w:color w:val="2e75b5"/>
                <w:sz w:val="20"/>
                <w:szCs w:val="20"/>
              </w:rPr>
            </w:pPr>
            <w:r w:rsidDel="00000000" w:rsidR="00000000" w:rsidRPr="00000000">
              <w:rPr>
                <w:color w:val="2e75b5"/>
                <w:sz w:val="20"/>
                <w:szCs w:val="20"/>
                <w:rtl w:val="0"/>
              </w:rPr>
              <w:t xml:space="preserve">How will this course require students to engage in competing paradigms of knowledge (qualitative, quantitative, theories, etc.)?</w:t>
            </w:r>
          </w:p>
        </w:tc>
      </w:tr>
      <w:tr>
        <w:trPr>
          <w:cantSplit w:val="0"/>
          <w:trHeight w:val="1493" w:hRule="atLeast"/>
          <w:tblHeader w:val="0"/>
        </w:trPr>
        <w:tc>
          <w:tcPr>
            <w:shd w:fill="d9e2f3" w:val="clear"/>
          </w:tcPr>
          <w:p w:rsidR="00000000" w:rsidDel="00000000" w:rsidP="00000000" w:rsidRDefault="00000000" w:rsidRPr="00000000" w14:paraId="000000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draw reasoned conclusions through the use of evidence and theories</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5F">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tc>
        <w:tc>
          <w:tcPr>
            <w:gridSpan w:val="2"/>
          </w:tcPr>
          <w:p w:rsidR="00000000" w:rsidDel="00000000" w:rsidP="00000000" w:rsidRDefault="00000000" w:rsidRPr="00000000" w14:paraId="00000060">
            <w:pPr>
              <w:tabs>
                <w:tab w:val="left" w:leader="none" w:pos="6660"/>
              </w:tabs>
              <w:spacing w:after="40" w:before="40" w:lineRule="auto"/>
              <w:rPr>
                <w:color w:val="2e75b5"/>
                <w:sz w:val="20"/>
                <w:szCs w:val="20"/>
              </w:rPr>
            </w:pPr>
            <w:r w:rsidDel="00000000" w:rsidR="00000000" w:rsidRPr="00000000">
              <w:rPr>
                <w:color w:val="2e75b5"/>
                <w:sz w:val="20"/>
                <w:szCs w:val="20"/>
                <w:rtl w:val="0"/>
              </w:rPr>
              <w:t xml:space="preserve">How will this course require students to develop qualitative or quantitative reasoning skills to evaluate evidence and draw reasoned conclusions?</w:t>
            </w:r>
          </w:p>
          <w:p w:rsidR="00000000" w:rsidDel="00000000" w:rsidP="00000000" w:rsidRDefault="00000000" w:rsidRPr="00000000" w14:paraId="00000061">
            <w:pP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62">
            <w:pPr>
              <w:ind w:left="0" w:firstLine="0"/>
              <w:rPr>
                <w:color w:val="2e75b5"/>
                <w:sz w:val="20"/>
                <w:szCs w:val="20"/>
              </w:rPr>
            </w:pPr>
            <w:r w:rsidDel="00000000" w:rsidR="00000000" w:rsidRPr="00000000">
              <w:rPr>
                <w:color w:val="2e75b5"/>
                <w:sz w:val="20"/>
                <w:szCs w:val="20"/>
                <w:rtl w:val="0"/>
              </w:rPr>
              <w:t xml:space="preserve">How will this course require students to develop qualitative or quantitative interpretive claims related to social and behavioral ways of thinking?</w:t>
            </w:r>
          </w:p>
        </w:tc>
      </w:tr>
      <w:tr>
        <w:trPr>
          <w:cantSplit w:val="0"/>
          <w:trHeight w:val="1763" w:hRule="atLeast"/>
          <w:tblHeader w:val="0"/>
        </w:trPr>
        <w:tc>
          <w:tcPr>
            <w:shd w:fill="d9e2f3" w:val="clear"/>
          </w:tcPr>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6660"/>
              </w:tabs>
              <w:spacing w:after="40" w:before="40" w:line="240" w:lineRule="auto"/>
              <w:ind w:left="360" w:right="0" w:hanging="270"/>
              <w:jc w:val="left"/>
              <w:rPr>
                <w:rFonts w:ascii="Calibri" w:cs="Calibri" w:eastAsia="Calibri" w:hAnsi="Calibri"/>
                <w:b w:val="0"/>
                <w:i w:val="0"/>
                <w:smallCaps w:val="0"/>
                <w:strike w:val="0"/>
                <w:color w:val="2e75b5"/>
                <w:sz w:val="20"/>
                <w:szCs w:val="20"/>
                <w:u w:val="none"/>
                <w:shd w:fill="auto" w:val="clear"/>
                <w:vertAlign w:val="baseline"/>
              </w:rPr>
            </w:pPr>
            <w:r w:rsidDel="00000000" w:rsidR="00000000" w:rsidRPr="00000000">
              <w:rPr>
                <w:rFonts w:ascii="Calibri" w:cs="Calibri" w:eastAsia="Calibri" w:hAnsi="Calibri"/>
                <w:b w:val="0"/>
                <w:i w:val="0"/>
                <w:smallCaps w:val="0"/>
                <w:strike w:val="0"/>
                <w:color w:val="2e75b5"/>
                <w:sz w:val="20"/>
                <w:szCs w:val="20"/>
                <w:u w:val="none"/>
                <w:shd w:fill="auto" w:val="clear"/>
                <w:vertAlign w:val="baseline"/>
                <w:rtl w:val="0"/>
              </w:rPr>
              <w:t xml:space="preserve">Students will be able to apply social and behavioral knowledge to better understand contemporary issues and challenges</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p w:rsidR="00000000" w:rsidDel="00000000" w:rsidP="00000000" w:rsidRDefault="00000000" w:rsidRPr="00000000" w14:paraId="00000066">
            <w:pPr>
              <w:tabs>
                <w:tab w:val="left" w:leader="none" w:pos="6660"/>
              </w:tabs>
              <w:spacing w:after="40" w:before="40" w:lineRule="auto"/>
              <w:ind w:left="36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6660"/>
              </w:tabs>
              <w:spacing w:after="40" w:before="40" w:lineRule="auto"/>
              <w:rPr>
                <w:color w:val="2e75b5"/>
                <w:sz w:val="20"/>
                <w:szCs w:val="20"/>
              </w:rPr>
            </w:pPr>
            <w:r w:rsidDel="00000000" w:rsidR="00000000" w:rsidRPr="00000000">
              <w:rPr>
                <w:rtl w:val="0"/>
              </w:rPr>
            </w:r>
          </w:p>
        </w:tc>
        <w:tc>
          <w:tcPr>
            <w:gridSpan w:val="2"/>
          </w:tcPr>
          <w:p w:rsidR="00000000" w:rsidDel="00000000" w:rsidP="00000000" w:rsidRDefault="00000000" w:rsidRPr="00000000" w14:paraId="00000068">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tbl>
      <w:tblPr>
        <w:tblStyle w:val="Table6"/>
        <w:tblW w:w="138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9"/>
        <w:gridCol w:w="7366"/>
        <w:gridCol w:w="2599"/>
        <w:tblGridChange w:id="0">
          <w:tblGrid>
            <w:gridCol w:w="3859"/>
            <w:gridCol w:w="7366"/>
            <w:gridCol w:w="2599"/>
          </w:tblGrid>
        </w:tblGridChange>
      </w:tblGrid>
      <w:tr>
        <w:trPr>
          <w:cantSplit w:val="0"/>
          <w:tblHeader w:val="0"/>
        </w:trPr>
        <w:tc>
          <w:tcPr>
            <w:gridSpan w:val="2"/>
            <w:tcBorders>
              <w:bottom w:color="000000" w:space="0" w:sz="4" w:val="single"/>
              <w:right w:color="000000" w:space="0" w:sz="0" w:val="nil"/>
            </w:tcBorders>
            <w:shd w:fill="d9e2f3" w:val="clear"/>
          </w:tcPr>
          <w:p w:rsidR="00000000" w:rsidDel="00000000" w:rsidP="00000000" w:rsidRDefault="00000000" w:rsidRPr="00000000" w14:paraId="0000006B">
            <w:pPr>
              <w:tabs>
                <w:tab w:val="left" w:leader="none" w:pos="6660"/>
              </w:tabs>
              <w:spacing w:after="40" w:before="40" w:lineRule="auto"/>
              <w:rPr>
                <w:b w:val="1"/>
                <w:color w:val="ffffff"/>
                <w:sz w:val="20"/>
                <w:szCs w:val="20"/>
              </w:rPr>
            </w:pPr>
            <w:r w:rsidDel="00000000" w:rsidR="00000000" w:rsidRPr="00000000">
              <w:rPr>
                <w:b w:val="1"/>
                <w:color w:val="2e75b5"/>
                <w:sz w:val="28"/>
                <w:szCs w:val="28"/>
                <w:rtl w:val="0"/>
              </w:rPr>
              <w:t xml:space="preserve">Core SLO(s)                                                                  (</w:t>
            </w:r>
            <w:hyperlink r:id="rId10">
              <w:r w:rsidDel="00000000" w:rsidR="00000000" w:rsidRPr="00000000">
                <w:rPr>
                  <w:b w:val="1"/>
                  <w:color w:val="0563c1"/>
                  <w:sz w:val="28"/>
                  <w:szCs w:val="28"/>
                  <w:u w:val="single"/>
                  <w:rtl w:val="0"/>
                </w:rPr>
                <w:t xml:space="preserve">Click here for more information on Core SLO’s</w:t>
              </w:r>
            </w:hyperlink>
            <w:r w:rsidDel="00000000" w:rsidR="00000000" w:rsidRPr="00000000">
              <w:rPr>
                <w:b w:val="1"/>
                <w:color w:val="0563c1"/>
                <w:sz w:val="28"/>
                <w:szCs w:val="28"/>
                <w:u w:val="single"/>
                <w:rtl w:val="0"/>
              </w:rPr>
              <w:t xml:space="preserve">)</w:t>
            </w:r>
            <w:r w:rsidDel="00000000" w:rsidR="00000000" w:rsidRPr="00000000">
              <w:rPr>
                <w:rtl w:val="0"/>
              </w:rPr>
            </w:r>
          </w:p>
        </w:tc>
        <w:tc>
          <w:tcPr>
            <w:tcBorders>
              <w:left w:color="000000" w:space="0" w:sz="0" w:val="nil"/>
              <w:bottom w:color="000000" w:space="0" w:sz="4" w:val="single"/>
            </w:tcBorders>
            <w:shd w:fill="d9e2f3" w:val="clear"/>
          </w:tcPr>
          <w:p w:rsidR="00000000" w:rsidDel="00000000" w:rsidP="00000000" w:rsidRDefault="00000000" w:rsidRPr="00000000" w14:paraId="0000006D">
            <w:pPr>
              <w:tabs>
                <w:tab w:val="left" w:leader="none" w:pos="6660"/>
              </w:tabs>
              <w:spacing w:after="40" w:before="40" w:lineRule="auto"/>
              <w:rPr>
                <w:b w:val="1"/>
                <w:color w:val="ffffff"/>
                <w:sz w:val="20"/>
                <w:szCs w:val="20"/>
              </w:rPr>
            </w:pPr>
            <w:r w:rsidDel="00000000" w:rsidR="00000000" w:rsidRPr="00000000">
              <w:rPr>
                <w:rtl w:val="0"/>
              </w:rPr>
            </w:r>
          </w:p>
        </w:tc>
      </w:tr>
      <w:tr>
        <w:trPr>
          <w:cantSplit w:val="0"/>
          <w:trHeight w:val="476" w:hRule="atLeast"/>
          <w:tblHeader w:val="0"/>
        </w:trPr>
        <w:tc>
          <w:tcPr>
            <w:tcBorders>
              <w:bottom w:color="000000" w:space="0" w:sz="4" w:val="single"/>
            </w:tcBorders>
            <w:shd w:fill="d9e2f3" w:val="clear"/>
          </w:tcPr>
          <w:p w:rsidR="00000000" w:rsidDel="00000000" w:rsidP="00000000" w:rsidRDefault="00000000" w:rsidRPr="00000000" w14:paraId="0000006E">
            <w:pPr>
              <w:tabs>
                <w:tab w:val="left" w:leader="none" w:pos="6660"/>
              </w:tabs>
              <w:spacing w:after="40" w:before="40" w:lineRule="auto"/>
              <w:rPr>
                <w:b w:val="1"/>
                <w:color w:val="2e75b5"/>
                <w:sz w:val="20"/>
                <w:szCs w:val="20"/>
              </w:rPr>
            </w:pPr>
            <w:r w:rsidDel="00000000" w:rsidR="00000000" w:rsidRPr="00000000">
              <w:rPr>
                <w:b w:val="1"/>
                <w:color w:val="2e75b5"/>
                <w:sz w:val="20"/>
                <w:szCs w:val="20"/>
                <w:rtl w:val="0"/>
              </w:rPr>
              <w:t xml:space="preserve">This course/experience is part of an integrated university-wide Core curriculum designed to facilitate student achievement of SLU’s nine University Core SLOs.  Below, you will find listed the 2 University Core-level student learning outcomes associated with this Core component area.</w:t>
            </w:r>
          </w:p>
          <w:p w:rsidR="00000000" w:rsidDel="00000000" w:rsidP="00000000" w:rsidRDefault="00000000" w:rsidRPr="00000000" w14:paraId="0000006F">
            <w:pPr>
              <w:tabs>
                <w:tab w:val="left" w:leader="none" w:pos="6660"/>
              </w:tabs>
              <w:spacing w:after="40" w:before="40" w:lineRule="auto"/>
              <w:rPr>
                <w:b w:val="1"/>
                <w:color w:val="2e75b5"/>
                <w:sz w:val="20"/>
                <w:szCs w:val="20"/>
              </w:rPr>
            </w:pPr>
            <w:r w:rsidDel="00000000" w:rsidR="00000000" w:rsidRPr="00000000">
              <w:rPr>
                <w:rtl w:val="0"/>
              </w:rPr>
            </w:r>
          </w:p>
        </w:tc>
        <w:tc>
          <w:tcPr>
            <w:gridSpan w:val="2"/>
          </w:tcPr>
          <w:p w:rsidR="00000000" w:rsidDel="00000000" w:rsidP="00000000" w:rsidRDefault="00000000" w:rsidRPr="00000000" w14:paraId="00000070">
            <w:pPr>
              <w:rPr>
                <w:sz w:val="20"/>
                <w:szCs w:val="20"/>
              </w:rPr>
            </w:pPr>
            <w:r w:rsidDel="00000000" w:rsidR="00000000" w:rsidRPr="00000000">
              <w:rPr>
                <w:b w:val="1"/>
                <w:i w:val="1"/>
                <w:color w:val="2e75b5"/>
                <w:sz w:val="20"/>
                <w:szCs w:val="20"/>
                <w:rtl w:val="0"/>
              </w:rPr>
              <w:t xml:space="preserve">In the space provided, please provide examples of readings, assignments, and/or activities that demonstrate how this course is designed to facilitate student achievement of these 2 outcomes at the levels indicated in parentheses.</w:t>
            </w: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2">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2</w:t>
            </w:r>
            <w:r w:rsidDel="00000000" w:rsidR="00000000" w:rsidRPr="00000000">
              <w:rPr>
                <w:b w:val="1"/>
                <w:color w:val="2e75b5"/>
                <w:sz w:val="20"/>
                <w:szCs w:val="20"/>
                <w:rtl w:val="0"/>
              </w:rPr>
              <w:t xml:space="preserve">: Students will be able to integrate knowledge from multiple disciplines to address complex questions (Develop)</w:t>
            </w:r>
          </w:p>
          <w:p w:rsidR="00000000" w:rsidDel="00000000" w:rsidP="00000000" w:rsidRDefault="00000000" w:rsidRPr="00000000" w14:paraId="00000073">
            <w:pPr>
              <w:tabs>
                <w:tab w:val="left" w:leader="none" w:pos="6660"/>
              </w:tabs>
              <w:spacing w:after="40" w:before="40" w:lineRule="auto"/>
              <w:ind w:left="90" w:firstLine="0"/>
              <w:rPr>
                <w:color w:val="2e75b5"/>
                <w:sz w:val="20"/>
                <w:szCs w:val="20"/>
              </w:rPr>
            </w:pPr>
            <w:r w:rsidDel="00000000" w:rsidR="00000000" w:rsidRPr="00000000">
              <w:rPr>
                <w:rtl w:val="0"/>
              </w:rPr>
            </w:r>
          </w:p>
          <w:p w:rsidR="00000000" w:rsidDel="00000000" w:rsidP="00000000" w:rsidRDefault="00000000" w:rsidRPr="00000000" w14:paraId="00000074">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5">
            <w:pPr>
              <w:tabs>
                <w:tab w:val="left" w:leader="none" w:pos="6660"/>
              </w:tabs>
              <w:spacing w:after="40" w:before="40" w:lineRule="auto"/>
              <w:ind w:left="90" w:firstLine="0"/>
              <w:rPr>
                <w:color w:val="2e75b5"/>
                <w:sz w:val="20"/>
                <w:szCs w:val="20"/>
              </w:rPr>
            </w:pPr>
            <w:r w:rsidDel="00000000" w:rsidR="00000000" w:rsidRPr="00000000">
              <w:rPr>
                <w:rtl w:val="0"/>
              </w:rPr>
            </w:r>
          </w:p>
        </w:tc>
        <w:tc>
          <w:tcPr>
            <w:gridSpan w:val="2"/>
          </w:tcPr>
          <w:p w:rsidR="00000000" w:rsidDel="00000000" w:rsidP="00000000" w:rsidRDefault="00000000" w:rsidRPr="00000000" w14:paraId="00000076">
            <w:pPr>
              <w:tabs>
                <w:tab w:val="left" w:leader="none" w:pos="6660"/>
              </w:tabs>
              <w:spacing w:after="40" w:before="40" w:lineRule="auto"/>
              <w:rPr>
                <w:color w:val="2e75b5"/>
                <w:sz w:val="20"/>
                <w:szCs w:val="20"/>
              </w:rPr>
            </w:pPr>
            <w:r w:rsidDel="00000000" w:rsidR="00000000" w:rsidRPr="00000000">
              <w:rPr>
                <w:rtl w:val="0"/>
              </w:rPr>
            </w:r>
          </w:p>
        </w:tc>
      </w:tr>
      <w:tr>
        <w:trPr>
          <w:cantSplit w:val="0"/>
          <w:trHeight w:val="1763" w:hRule="atLeast"/>
          <w:tblHeader w:val="0"/>
        </w:trPr>
        <w:tc>
          <w:tcPr>
            <w:shd w:fill="d9e2f3" w:val="clear"/>
          </w:tcPr>
          <w:p w:rsidR="00000000" w:rsidDel="00000000" w:rsidP="00000000" w:rsidRDefault="00000000" w:rsidRPr="00000000" w14:paraId="00000078">
            <w:pPr>
              <w:tabs>
                <w:tab w:val="left" w:leader="none" w:pos="6660"/>
              </w:tabs>
              <w:spacing w:after="40" w:before="40" w:lineRule="auto"/>
              <w:ind w:left="90" w:firstLine="0"/>
              <w:rPr>
                <w:b w:val="1"/>
                <w:color w:val="2e75b5"/>
                <w:sz w:val="20"/>
                <w:szCs w:val="20"/>
              </w:rPr>
            </w:pPr>
            <w:r w:rsidDel="00000000" w:rsidR="00000000" w:rsidRPr="00000000">
              <w:rPr>
                <w:b w:val="1"/>
                <w:color w:val="2e75b5"/>
                <w:sz w:val="20"/>
                <w:szCs w:val="20"/>
                <w:u w:val="single"/>
                <w:rtl w:val="0"/>
              </w:rPr>
              <w:t xml:space="preserve">SLO 3</w:t>
            </w:r>
            <w:r w:rsidDel="00000000" w:rsidR="00000000" w:rsidRPr="00000000">
              <w:rPr>
                <w:b w:val="1"/>
                <w:color w:val="2e75b5"/>
                <w:sz w:val="20"/>
                <w:szCs w:val="20"/>
                <w:rtl w:val="0"/>
              </w:rPr>
              <w:t xml:space="preserve">: Students will be able to assess evidence and draw reasoned conclusions (Develop)</w:t>
            </w:r>
          </w:p>
          <w:p w:rsidR="00000000" w:rsidDel="00000000" w:rsidP="00000000" w:rsidRDefault="00000000" w:rsidRPr="00000000" w14:paraId="00000079">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p w:rsidR="00000000" w:rsidDel="00000000" w:rsidP="00000000" w:rsidRDefault="00000000" w:rsidRPr="00000000" w14:paraId="0000007A">
            <w:pPr>
              <w:tabs>
                <w:tab w:val="left" w:leader="none" w:pos="6660"/>
              </w:tabs>
              <w:spacing w:after="40" w:before="40" w:lineRule="auto"/>
              <w:ind w:left="90" w:firstLine="0"/>
              <w:rPr>
                <w:color w:val="2e75b5"/>
                <w:sz w:val="20"/>
                <w:szCs w:val="20"/>
              </w:rPr>
            </w:pPr>
            <w:r w:rsidDel="00000000" w:rsidR="00000000" w:rsidRPr="00000000">
              <w:rPr>
                <w:rFonts w:ascii="MS Gothic" w:cs="MS Gothic" w:eastAsia="MS Gothic" w:hAnsi="MS Gothic"/>
                <w:color w:val="2e75b5"/>
                <w:sz w:val="20"/>
                <w:szCs w:val="20"/>
                <w:rtl w:val="0"/>
              </w:rPr>
              <w:t xml:space="preserve">☐</w:t>
            </w:r>
            <w:r w:rsidDel="00000000" w:rsidR="00000000" w:rsidRPr="00000000">
              <w:rPr>
                <w:color w:val="2e75b5"/>
                <w:sz w:val="20"/>
                <w:szCs w:val="20"/>
                <w:rtl w:val="0"/>
              </w:rPr>
              <w:t xml:space="preserve">Check here if submitting UUCC requested revisions</w:t>
            </w:r>
          </w:p>
          <w:p w:rsidR="00000000" w:rsidDel="00000000" w:rsidP="00000000" w:rsidRDefault="00000000" w:rsidRPr="00000000" w14:paraId="0000007B">
            <w:pPr>
              <w:tabs>
                <w:tab w:val="left" w:leader="none" w:pos="6660"/>
              </w:tabs>
              <w:spacing w:after="40" w:before="40" w:lineRule="auto"/>
              <w:ind w:left="90" w:firstLine="0"/>
              <w:rPr>
                <w:b w:val="1"/>
                <w:color w:val="2e75b5"/>
                <w:sz w:val="20"/>
                <w:szCs w:val="20"/>
                <w:u w:val="single"/>
              </w:rPr>
            </w:pPr>
            <w:r w:rsidDel="00000000" w:rsidR="00000000" w:rsidRPr="00000000">
              <w:rPr>
                <w:rtl w:val="0"/>
              </w:rPr>
            </w:r>
          </w:p>
        </w:tc>
        <w:tc>
          <w:tcPr>
            <w:gridSpan w:val="2"/>
          </w:tcPr>
          <w:p w:rsidR="00000000" w:rsidDel="00000000" w:rsidP="00000000" w:rsidRDefault="00000000" w:rsidRPr="00000000" w14:paraId="0000007C">
            <w:pPr>
              <w:tabs>
                <w:tab w:val="left" w:leader="none" w:pos="6660"/>
              </w:tabs>
              <w:spacing w:after="40" w:before="40" w:lineRule="auto"/>
              <w:rPr>
                <w:color w:val="2e75b5"/>
                <w:sz w:val="20"/>
                <w:szCs w:val="20"/>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424A"/>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F424A"/>
    <w:pPr>
      <w:ind w:left="720"/>
      <w:contextualSpacing w:val="1"/>
    </w:pPr>
  </w:style>
  <w:style w:type="table" w:styleId="TableGrid">
    <w:name w:val="Table Grid"/>
    <w:basedOn w:val="TableNormal"/>
    <w:uiPriority w:val="59"/>
    <w:rsid w:val="005F424A"/>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664D2"/>
    <w:rPr>
      <w:color w:val="0563c1" w:themeColor="hyperlink"/>
      <w:u w:val="single"/>
    </w:rPr>
  </w:style>
  <w:style w:type="character" w:styleId="FollowedHyperlink">
    <w:name w:val="FollowedHyperlink"/>
    <w:basedOn w:val="DefaultParagraphFont"/>
    <w:uiPriority w:val="99"/>
    <w:semiHidden w:val="1"/>
    <w:unhideWhenUsed w:val="1"/>
    <w:rsid w:val="0004481C"/>
    <w:rPr>
      <w:color w:val="954f72" w:themeColor="followedHyperlink"/>
      <w:u w:val="single"/>
    </w:rPr>
  </w:style>
  <w:style w:type="table" w:styleId="TableGrid1" w:customStyle="1">
    <w:name w:val="Table Grid1"/>
    <w:basedOn w:val="TableNormal"/>
    <w:next w:val="TableGrid"/>
    <w:uiPriority w:val="39"/>
    <w:rsid w:val="006D27F4"/>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D2781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file/d/15qtYvj1085Y8OHJ8GRkxzRW2w-H_t6FU/view?usp=sharing" TargetMode="External"/><Relationship Id="rId9" Type="http://schemas.openxmlformats.org/officeDocument/2006/relationships/hyperlink" Target="https://www.slu.edu/core/faculty-resources/core-student-learning-outcomes.ph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NFi-z5WefyHy9gH57x9EcsQaxG4b_qU3/view" TargetMode="External"/><Relationship Id="rId8" Type="http://schemas.openxmlformats.org/officeDocument/2006/relationships/hyperlink" Target="https://www.slu.edu/provost/policies/academic-and-course/policy-course-syllabu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cd+UcWopYdPMqpAu2BjsQ/PpJg==">CgMxLjAaHwoBMBIaChgICVIUChJ0YWJsZS5saG93M3lzZGN0eno4AHIhMVIxRHNNenNPZGNLcmtJeWgwUXZZMm1IOU1uZGlEVnBv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2020-09-30T16:50:00Z</dcterms:created>
  <dc:creator>Jamie Zurliene</dc:creator>
</cp:coreProperties>
</file>